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footnotes.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itle"/>
        <w:keepNext w:val="true"/>
        <w:keepLines/>
        <w:spacing w:before="480" w:after="240"/>
        <w:jc w:val="center"/>
        <w:rPr/>
      </w:pPr>
      <w:r>
        <w:rPr/>
        <w:t xml:space="preserve">Unexpected, fast range expansion in Virginia and prediction of future spread in the United States of the red imported fire ant </w:t>
      </w:r>
      <w:r>
        <w:rPr>
          <w:i/>
        </w:rPr>
        <w:t>Solenopsis invicta</w:t>
      </w:r>
    </w:p>
    <w:p>
      <w:pPr>
        <w:pStyle w:val="Author"/>
        <w:rPr/>
      </w:pPr>
      <w:r>
        <w:rPr/>
        <w:t>Morgan Malone</w:t>
      </w:r>
      <w:r>
        <w:rPr>
          <w:rStyle w:val="FootnoteAnchor"/>
        </w:rPr>
        <w:footnoteReference w:id="2"/>
      </w:r>
    </w:p>
    <w:p>
      <w:pPr>
        <w:pStyle w:val="Author"/>
        <w:rPr/>
      </w:pPr>
      <w:r>
        <w:rPr/>
        <w:t>Kaloyan Ivanov</w:t>
      </w:r>
      <w:r>
        <w:rPr>
          <w:rStyle w:val="FootnoteAnchor"/>
        </w:rPr>
        <w:footnoteReference w:id="3"/>
      </w:r>
    </w:p>
    <w:p>
      <w:pPr>
        <w:pStyle w:val="Author"/>
        <w:rPr/>
      </w:pPr>
      <w:r>
        <w:rPr/>
        <w:t>Sally V. Taylor</w:t>
      </w:r>
      <w:r>
        <w:rPr>
          <w:rStyle w:val="FootnoteAnchor"/>
        </w:rPr>
        <w:footnoteReference w:id="4"/>
      </w:r>
    </w:p>
    <w:p>
      <w:pPr>
        <w:pStyle w:val="Author"/>
        <w:rPr/>
      </w:pPr>
      <w:r>
        <w:rPr/>
        <w:t>Roger Schürch</w:t>
      </w:r>
      <w:r>
        <w:rPr>
          <w:rStyle w:val="FootnoteAnchor"/>
        </w:rPr>
        <w:footnoteReference w:id="5"/>
      </w:r>
    </w:p>
    <w:p>
      <w:pPr>
        <w:pStyle w:val="Abstract"/>
        <w:keepNext w:val="true"/>
        <w:keepLines/>
        <w:suppressAutoHyphens w:val="false"/>
        <w:spacing w:lineRule="auto" w:line="480" w:before="300" w:after="300"/>
        <w:jc w:val="both"/>
        <w:rPr/>
      </w:pPr>
      <w:r>
        <w:rPr/>
        <w:t xml:space="preserve">The red imported fire ant (RIFA), </w:t>
      </w:r>
      <w:r>
        <w:rPr>
          <w:i/>
        </w:rPr>
        <w:t>Solenopsis invicta</w:t>
      </w:r>
      <w:r>
        <w:rPr/>
        <w:t xml:space="preserve"> (Buren), is a notorious, invasive species with a broad impacts on ecosystems, economies, and human health. While incidental reports to the Virginia Department of Agriculture and Consumer Services (VDACS) indicate recent range expansion in Virginia, the full extent of the recent spread of RIFA is currently unknown. In this study, we examined the distribution of RIFA in Virginia using multiple data sources. During the summers of 2020 and 2021, we conducted a series of prospective visual surveys along public roadways. In addition, we used the multi-year infestation reports from VDACS collected 2016–2021. Lastly, we surveyed local naturalists, county extension agents, and land managers. We compared the resulting current data to a previously published model quantifying the potential spread of RIFA, and we constructed a new species distribution model to predict the potential range expansion of RIFA based on our updated information and bioclimatic variables. In 2020–21, RIFA was found in 7 Virginia counties beyond the current federal quarantine zone, and our data show that RIFA has spread further than what was predicted 15 years ago. Our new species distribution model suggests that the range of RIFA is likely to increase under the currently projected climate change scenarios, both specifically in Virginia and more generally across the United States, with the lower Midwest as one of the most affected areas. This study provides insights into the range expansion of RIFA at the border of its suitable habitat and allows for corrections to models of its future spread. In doing so, it provides information to advise sound management practices and eradication efforts.</w:t>
      </w:r>
      <w:r>
        <w:br w:type="page"/>
      </w:r>
    </w:p>
    <w:p>
      <w:pPr>
        <w:pStyle w:val="Heading1"/>
        <w:numPr>
          <w:ilvl w:val="0"/>
          <w:numId w:val="0"/>
        </w:numPr>
        <w:ind w:left="0" w:hanging="0"/>
        <w:rPr/>
      </w:pPr>
      <w:bookmarkStart w:id="0" w:name="introduction"/>
      <w:r>
        <w:rPr/>
        <w:t>Introduction</w:t>
      </w:r>
      <w:bookmarkEnd w:id="0"/>
    </w:p>
    <w:p>
      <w:pPr>
        <w:pStyle w:val="FirstParagraph"/>
        <w:rPr/>
      </w:pPr>
      <w:r>
        <w:rPr/>
        <w:t>As the impacts of globalization and climate change continue to increase, so too will the threat of invasive species (Seebens et al. 2017). In particular, globalization facilitates the spread of invasive species because humans move them, intentionally or accidentally, through trade and transportation (Marco and Santini 2015). Additionally, the effects associated with climate change may also cause shifts in species’ ranges, which increases the risk of invasive species (Bertelsmeier et al. 2015).</w:t>
      </w:r>
    </w:p>
    <w:p>
      <w:pPr>
        <w:pStyle w:val="TextBody"/>
        <w:rPr/>
      </w:pPr>
      <w:r>
        <w:rPr/>
        <w:t xml:space="preserve">Many ants are particularly problematic invaders as they rapidly spread into an area and cause damages to native species, agriculture, and human health (Lessard et al. 2009; Lowe 2000). The red imported fire ant (RIFA), </w:t>
      </w:r>
      <w:r>
        <w:rPr>
          <w:i/>
        </w:rPr>
        <w:t>Solenopsis invicta</w:t>
      </w:r>
      <w:r>
        <w:rPr/>
        <w:t xml:space="preserve"> (Buren), is not any different: it is a notorious, invasive species in many parts of the world. It is an aggressive species, known for its painful sting, which can have negative health effects on wildlife, livestock, and humans (Langkilde 2009; Vinson 2013; Wang et al. 2019).</w:t>
      </w:r>
    </w:p>
    <w:p>
      <w:pPr>
        <w:pStyle w:val="TextBody"/>
        <w:rPr/>
      </w:pPr>
      <w:r>
        <w:rPr/>
        <w:t>Native to central South America, RIFA was introduced in the United States through the port of Mobile, Alabama in the 1930s (Buren et al. 1974). From there colonies expanded rapidly throughout the southern United States (Callcott and Collins 1996; Sung et al. 2018). In 2000, the US Department of Agriculture estimated that RIFA was expanding approximately 120 miles (193 km) per year (Kemp et al. 2000). In the United States, RIFA causes an estimated economic impact of $6 billion annually (Drees and Lard 2006), infesting public lands such as schools, businesses, and recreational areas, as well as new developments like lawns, gardens, urban parks, roadsides and agricultural fields and pastures (Gutrich, VanGelder, and Loope 2007; Porter and Tschinkel 1993; Rosson 2004; Tschinkel 2006). In agricultural systems they can impact on farm equipment and reduce crop yields (Adams et al. 1983; Vinson 2013).</w:t>
      </w:r>
    </w:p>
    <w:p>
      <w:pPr>
        <w:pStyle w:val="TextBody"/>
        <w:rPr/>
      </w:pPr>
      <w:r>
        <w:rPr/>
        <w:t>While human activities are heavily affected by the presence of RIFA, human activities such as trade and transportation are also major forces behind its spread (King and Tschinkel 2008). Besides the man-made factors in its spread, temperature (Morrill 1977; Porter 1988), precipitation (Thorvilson, Cokendolpher, and Phillips 1992; Wojcik 1983), and vegetation type (Rosson 2004) also influence the areas suitable for RIFA establishment and continued persistence. In particular, the main constraints limiting RIFA spread are temperature and precipitation (Morrison, Korzukhin, and Porter 2005; Chen et al. 2020). And so it is thought that the drier conditions of the American West, and the colder temperatures in the north, have slowed its spread (Vinson 1997). However, due to RIFA’s high adaptive and reproductive capacity (Ross and Shoemaker 2008), global climate change, and current urbanization trends, its range is predicted to continue to expand (Morrison, Korzukhin, and Porter 2005). In an interaction of human and abiotic factors, urbanization may facilitate the spread of the red imported fire ant, especially in colder climates where ants can overwinter in electrical equipment and insulation (Thorvilson, Cokendolpher, and Phillips 1992).</w:t>
      </w:r>
    </w:p>
    <w:p>
      <w:pPr>
        <w:pStyle w:val="TextBody"/>
        <w:rPr/>
      </w:pPr>
      <w:r>
        <w:rPr/>
        <w:t>Managing invasive species is extremely difficult, especially once they become established (Hoffmann et al. 2011). Some key concepts in combating further spread are early detection, quarantines, mapping, and prediction of areas of future spread. These are not mutually exclusive, as for example detection can be used in mapping and crafting policy decisions such as establishing quarantines. Early detection and subsequent limit on spread are important mitigation tools (Lodge et al. 2006). The Federal Imported Fire Ant Quarantine was established in Virginia in 2009 and included the independent cites of Chesapeake, Hampton, Newport News, Norfolk, Poquoson, Portsmouth, Suffolk, Virginia Beach, and Williamsburg and the counties of James City and York. In 2019, the independent cities Emporia and Franklin and the counties Brunswick, Isle of Wight, Greensville, Mecklenburg, and Southampton were added (Miller and Allen 2019). The quarantine restricts the movement of soil, plant products, equipment used for moving soil, and other items that are capable of harboring ants and requires the inspection of such items before transportation (</w:t>
      </w:r>
      <w:r>
        <w:rPr>
          <w:i/>
        </w:rPr>
        <w:t>Imported Fire Ant Program Manual</w:t>
      </w:r>
      <w:r>
        <w:rPr/>
        <w:t xml:space="preserve"> 2019). Mapping and modeling species distributions is another important tool for tracking and managing the spread of invasive species, as well as for predicting the impacts of climate change on their distributions (Miller 2010). Previous models have shown that the range of RIFA is likely to continue to expand (Chen et al. 2020; Korzukhin et al. 2001; Morrison, Korzukhin, and Porter 2005; Sung et al. 2018; Sutherst and Maywald 2005). However, these models have not been validated after publication, so we do not currently know how well they predict the current expansion in Virginia.</w:t>
      </w:r>
    </w:p>
    <w:p>
      <w:pPr>
        <w:pStyle w:val="TextBody"/>
        <w:rPr/>
      </w:pPr>
      <w:r>
        <w:rPr/>
        <w:t xml:space="preserve">In this study, we investigated the current spread of </w:t>
      </w:r>
      <w:r>
        <w:rPr>
          <w:i/>
        </w:rPr>
        <w:t>S. invicta</w:t>
      </w:r>
      <w:r>
        <w:rPr/>
        <w:t xml:space="preserve"> in Virginia, which is along the northernmost edge of its introduced range in North America, and qualitatively compared it to an earlier predictive model (Morrison, Korzukhin, and Porter 2005). In addition, we constructed a species distribution model and explored the effects of climate on RIFA range expansion in North America. We complemented existing opportunistic data on occurrence, collected by the Virginia Department of Agriculture and Consumer Services (VDACS), with our own extensive, systematic prospective presence / absence surveys. Our mapping efforts allowed us to examine the effects of climate conditions on these recent expansion trends. Ultimately these data support the importance of mapping and modeling species distribution for the management of invasive species and can provide further insight into the effect of global warming.</w:t>
      </w:r>
    </w:p>
    <w:p>
      <w:pPr>
        <w:pStyle w:val="Heading1"/>
        <w:numPr>
          <w:ilvl w:val="0"/>
          <w:numId w:val="0"/>
        </w:numPr>
        <w:ind w:left="0" w:hanging="0"/>
        <w:rPr/>
      </w:pPr>
      <w:bookmarkStart w:id="1" w:name="material-and-methods"/>
      <w:r>
        <w:rPr/>
        <w:t>Material and Methods</w:t>
      </w:r>
      <w:bookmarkEnd w:id="1"/>
    </w:p>
    <w:p>
      <w:pPr>
        <w:pStyle w:val="Heading2"/>
        <w:numPr>
          <w:ilvl w:val="0"/>
          <w:numId w:val="0"/>
        </w:numPr>
        <w:ind w:left="0" w:hanging="0"/>
        <w:rPr/>
      </w:pPr>
      <w:r>
        <w:rPr/>
        <w:t>C</w:t>
      </w:r>
      <w:bookmarkStart w:id="2" w:name="X305fa4b73fdf7baa8f35afa4560661315a34ebe"/>
      <w:r>
        <w:rPr/>
        <w:t>urrent range of the red imported fire ant in Virginia</w:t>
      </w:r>
      <w:bookmarkEnd w:id="2"/>
    </w:p>
    <w:p>
      <w:pPr>
        <w:pStyle w:val="Heading3"/>
        <w:numPr>
          <w:ilvl w:val="0"/>
          <w:numId w:val="0"/>
        </w:numPr>
        <w:ind w:left="0" w:hanging="0"/>
        <w:rPr/>
      </w:pPr>
      <w:bookmarkStart w:id="3" w:name="road-side-surveys"/>
      <w:r>
        <w:rPr/>
        <w:t>Road-side Surveys</w:t>
      </w:r>
      <w:bookmarkEnd w:id="3"/>
    </w:p>
    <w:p>
      <w:pPr>
        <w:pStyle w:val="FirstParagraph"/>
        <w:rPr/>
      </w:pPr>
      <w:r>
        <w:rPr/>
        <w:t>During the summers of 2020 and 2021, we conducted 175 visual surveys along public roadways in southern Virginia. The survey methods were adapted from the United States Department of Agriculture “Imported Fire Ant Program Manual” (</w:t>
      </w:r>
      <w:r>
        <w:rPr>
          <w:i/>
        </w:rPr>
        <w:t>Imported Fire Ant Program Manual</w:t>
      </w:r>
      <w:r>
        <w:rPr/>
        <w:t xml:space="preserve"> 2019).</w:t>
      </w:r>
    </w:p>
    <w:p>
      <w:pPr>
        <w:pStyle w:val="TextBody"/>
        <w:rPr/>
      </w:pPr>
      <w:r>
        <w:rPr/>
        <w:t>We selected 23 roadways that extended about 40 km perpendicular to the current Imported Fire Ant Quarantine zone. Roadways were selected using ArcGIS Online (ESRI, n.d.) and were situated approximately 16 km (10 miles) apart from each other. During each survey, we stopped every 8 km (5 miles) along each roadway (5 stops per roadway; total of 175 stops) and looked for evidence of RIFA. Due to the orientation of some roadways, some stops overlapped and were sampled only once. The roadways as actually sampled in 2020 are shown in Figure 1. In 2021, we limited the roadway surveys to within 16 km (10 miles) of known RIFA presence.</w:t>
      </w:r>
    </w:p>
    <w:p>
      <w:pPr>
        <w:pStyle w:val="CaptionedFigure"/>
        <w:rPr/>
      </w:pPr>
      <w:r>
        <w:rPr/>
        <w:drawing>
          <wp:inline distT="0" distB="0" distL="0" distR="0">
            <wp:extent cx="5943600" cy="3467100"/>
            <wp:effectExtent l="0" t="0" r="0" b="0"/>
            <wp:docPr id="1" name="Picture" descr="Figure 1. Road surveys in Virginia. Shown are the quarantined counties (as of 2019) in gray, and the the road survey locations for this study as white dots on the black survey trans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Figure 1. Road surveys in Virginia. Shown are the quarantined counties (as of 2019) in gray, and the the road survey locations for this study as white dots on the black survey transects."/>
                    <pic:cNvPicPr>
                      <a:picLocks noChangeAspect="1" noChangeArrowheads="1"/>
                    </pic:cNvPicPr>
                  </pic:nvPicPr>
                  <pic:blipFill>
                    <a:blip r:embed="rId2"/>
                    <a:stretch>
                      <a:fillRect/>
                    </a:stretch>
                  </pic:blipFill>
                  <pic:spPr bwMode="auto">
                    <a:xfrm>
                      <a:off x="0" y="0"/>
                      <a:ext cx="5943600" cy="3467100"/>
                    </a:xfrm>
                    <a:prstGeom prst="rect">
                      <a:avLst/>
                    </a:prstGeom>
                  </pic:spPr>
                </pic:pic>
              </a:graphicData>
            </a:graphic>
          </wp:inline>
        </w:drawing>
      </w:r>
    </w:p>
    <w:p>
      <w:pPr>
        <w:pStyle w:val="ImageCaption"/>
        <w:rPr/>
      </w:pPr>
      <w:r>
        <w:rPr/>
        <w:t>Figure 1. Road surveys in Virginia. Shown are the quarantined counties (as of 2019) in gray, and the the road survey locations for this study as white dots on the black survey transects.</w:t>
      </w:r>
    </w:p>
    <w:p>
      <w:pPr>
        <w:pStyle w:val="TextBody"/>
        <w:rPr/>
      </w:pPr>
      <w:r>
        <w:rPr/>
        <w:t>Surveys were conducted during daylight hours when air temperatures were between 18–32°C. Land cover in the surveyed region primarily consists of cropland, forests, and disturbed areas. Before surveying each site, we examined its suitability using Google Maps. A location was deemed unsuitable if there was construction, if the location had no safe turnoff, or if it was located on private property. If a site was unsuitable, we choose a new site within 1 km. Exact stopping locations were determined at the time of the survey and were adjusted for parking and safety of the surveyor (MM). Roadways were grouped by convenience and randomly selected in advance via a random number generator. At each stop, we walked 0.4 km (one-quarter mile) along each side of the road and visually surveyed for mounds, small piles of exposed soil, or other soil disturbances (</w:t>
      </w:r>
      <w:r>
        <w:rPr>
          <w:i/>
        </w:rPr>
        <w:t>Imported Fire Ant Program Manual</w:t>
      </w:r>
      <w:r>
        <w:rPr/>
        <w:t xml:space="preserve"> 2019). RIFA mounds are easily distinguished from other ant mounds because they do not have visible entrances. When we suspected a mound to be RIFA, we disturbed the mound using a stick or shovel. When disturbed ants rushed out of the mound and climbed vertically, which is a signature behavior of RIFA, we deemed them to be fire ants. In addition, we identified RIFA based on visual characteristics. RIFA are red to brown in color, between 2.4 to 6 mm in body size, have a two segmented pedicel, and possess a sting (Collins and Scheffrahn 2001).</w:t>
      </w:r>
    </w:p>
    <w:p>
      <w:pPr>
        <w:pStyle w:val="Heading3"/>
        <w:numPr>
          <w:ilvl w:val="0"/>
          <w:numId w:val="0"/>
        </w:numPr>
        <w:ind w:left="0" w:hanging="0"/>
        <w:rPr/>
      </w:pPr>
      <w:bookmarkStart w:id="4" w:name="X2d003fac371f9946c0446a090e92d2946ee030d"/>
      <w:r>
        <w:rPr/>
        <w:t>Reports from Virginia Department of Agriculture and Consumer Services</w:t>
      </w:r>
      <w:bookmarkEnd w:id="4"/>
    </w:p>
    <w:p>
      <w:pPr>
        <w:pStyle w:val="FirstParagraph"/>
        <w:rPr/>
      </w:pPr>
      <w:r>
        <w:rPr/>
        <w:t>In addition to road surveys, we used multi-year infestation reports from the Virginia Department of Agriculture and Consumer Services (VDACS) from 2016–2020. VDACS provided coordinates with ¼ mile accuracy to obscure sensitive information. The focus of these reports is in areas outside of the Imported Fire Ant Quarantine zone.</w:t>
      </w:r>
    </w:p>
    <w:p>
      <w:pPr>
        <w:pStyle w:val="Heading3"/>
        <w:numPr>
          <w:ilvl w:val="0"/>
          <w:numId w:val="0"/>
        </w:numPr>
        <w:ind w:left="0" w:hanging="0"/>
        <w:rPr/>
      </w:pPr>
      <w:bookmarkStart w:id="5" w:name="X739c78f51f2d799ebf7f886110f10d3e6f759f0"/>
      <w:r>
        <w:rPr/>
        <w:t>Reports from Virginia Master Naturalists, iNaturalist, Extension Offices and the Virginia Museum of Natural History</w:t>
      </w:r>
      <w:bookmarkEnd w:id="5"/>
    </w:p>
    <w:p>
      <w:pPr>
        <w:pStyle w:val="FirstParagraph"/>
        <w:rPr/>
      </w:pPr>
      <w:r>
        <w:rPr/>
        <w:t>We used community science and other efforts to gather RIFA occurrence data from 2020 to 2021. Community science efforts included participating individuals from the Virginia Master Naturalist program who provided locality data, and research grade records harvested from iNaturalist. iNaturalist is a community science platform for mapping and sharing observations of biodiversity world-wide. In addition, we surveyed county Cooperative Extension offices and while no specific locations were recorded through this survey, we were able to gain a better understanding of RIFA’s spread in the study area. Lastly, presence/ absence data were also provided by the Virginia Museum of Natural History (KI).</w:t>
      </w:r>
    </w:p>
    <w:p>
      <w:pPr>
        <w:pStyle w:val="Heading2"/>
        <w:numPr>
          <w:ilvl w:val="0"/>
          <w:numId w:val="0"/>
        </w:numPr>
        <w:ind w:left="0" w:hanging="0"/>
        <w:rPr/>
      </w:pPr>
      <w:bookmarkStart w:id="6" w:name="qualitative-comparison-to-previous-model"/>
      <w:r>
        <w:rPr/>
        <w:t>Qualitative comparison to previous model</w:t>
      </w:r>
      <w:bookmarkEnd w:id="6"/>
    </w:p>
    <w:p>
      <w:pPr>
        <w:pStyle w:val="FirstParagraph"/>
        <w:rPr/>
      </w:pPr>
      <w:r>
        <w:rPr/>
        <w:t xml:space="preserve">To compare the current range of </w:t>
      </w:r>
      <w:r>
        <w:rPr>
          <w:i/>
        </w:rPr>
        <w:t>S. invicta</w:t>
      </w:r>
      <w:r>
        <w:rPr/>
        <w:t xml:space="preserve"> in Virginia with a previously published model (Morrison, Korzukhin, and Porter 2005), we overlaid our occurrence data with the model’s maps and visually compared the two distributions. Because the original data and model are no longer available (Morrison, personal communication), a more quantitative comparison of current observations and model predictions were not possible. For the qualitative comparison, we used geographic landmarks to align the two maps as accurately as possible and utilized the same 0.5° ⨯ 0.5° cell grid (approx. 55 ⨯ 55 km) used in the Morrison, Korzukhin, and Porter (2005) model. We then qualitatively compared the differences between the model’s predictions and our own data.</w:t>
      </w:r>
    </w:p>
    <w:p>
      <w:pPr>
        <w:pStyle w:val="Heading2"/>
        <w:numPr>
          <w:ilvl w:val="0"/>
          <w:numId w:val="0"/>
        </w:numPr>
        <w:ind w:left="0" w:hanging="0"/>
        <w:rPr/>
      </w:pPr>
      <w:bookmarkStart w:id="7" w:name="X6ba0bb469f0a1d6ea3b88ac765db2752e154783"/>
      <w:r>
        <w:rPr/>
        <w:t>Prediction of habitable range with current and future climate predictions</w:t>
      </w:r>
      <w:bookmarkEnd w:id="7"/>
    </w:p>
    <w:p>
      <w:pPr>
        <w:pStyle w:val="FirstParagraph"/>
        <w:rPr/>
      </w:pPr>
      <w:r>
        <w:rPr/>
        <w:t xml:space="preserve">To create our own species distribution model, we first collected </w:t>
      </w:r>
      <w:r>
        <w:rPr>
          <w:i/>
        </w:rPr>
        <w:t>S. invicta</w:t>
      </w:r>
      <w:r>
        <w:rPr/>
        <w:t xml:space="preserve"> presence data from the Global Biodiversity Information Facility (GBIF), a free open access source of global biodiversity data (</w:t>
      </w:r>
      <w:hyperlink r:id="rId3">
        <w:r>
          <w:rPr>
            <w:rStyle w:val="InternetLink"/>
          </w:rPr>
          <w:t>https://www.gbif.org</w:t>
        </w:r>
      </w:hyperlink>
      <w:r>
        <w:rPr/>
        <w:t>). The data base was last queried using rgbif version 3.5.2 (Chamberlain and Boettiger 2017) on June 15, 2022 using the species name (</w:t>
      </w:r>
      <w:r>
        <w:rPr>
          <w:i/>
        </w:rPr>
        <w:t>Solenopsis invicta</w:t>
      </w:r>
      <w:r>
        <w:rPr/>
        <w:t>) as a the only search term. We removed any records with incomplete, imprecise, impossible, or unlikely coordinates using the scrubr package (version 0.3.2). Our final data set had n = 10068 rows. We then created an approximate equal amount (n = 10000) pseudo-absence points uniformly across the United States. Previously it was shown that such background pseudo-absence data gave best results for predicting where animals were present, but not where they were absent (Hazen et al. 2021).</w:t>
      </w:r>
    </w:p>
    <w:p>
      <w:pPr>
        <w:pStyle w:val="TextBody"/>
        <w:rPr/>
      </w:pPr>
      <w:r>
        <w:rPr/>
        <w:t xml:space="preserve">We then wanted to see if the presence / pseudo-absence data could be explained by environmental variables. We used the bioclimate variable data set from WorldClim, which offers a free high spatial resolution dataset of global weather and climate for both past data and future predictions (Fick and Hijmans 2017). The dataset includes 19 bioclimate variables. Among these, we picked 5 variables associated with </w:t>
      </w:r>
      <w:r>
        <w:rPr>
          <w:i/>
        </w:rPr>
        <w:t>S. invicta</w:t>
      </w:r>
      <w:r>
        <w:rPr/>
        <w:t xml:space="preserve"> spread (Sung et al. 2018): annual mean temperature (Bio1), maximum temperature of the warmest month (Bio5), minimum temperature of the coldest month (Bio6), annual precipitation (Bio12), and precipitation of the driest month (Bio14). We collected historical (current) data at a spatial resolution of 30 seconds or approximately 1 km². We collected future climate data at a resolution of 2.5 minutes (highest resolution available) for 2050 and 2070 to make predictions of RIFA spread based on the environmental variables and our model trained on the current data.</w:t>
      </w:r>
    </w:p>
    <w:p>
      <w:pPr>
        <w:pStyle w:val="TextBody"/>
        <w:rPr/>
      </w:pPr>
      <w:r>
        <w:rPr/>
        <w:t>The methods and code for our species distribution model (SDM) follows Zurell et al. (2018), with a few revisions to adapt to our data using R version 3.6.3 (R Core Team 2020). The SDM was constructed to model the potential distribution of RIFA under historical and future climate conditions. For model fitting, we used a binomial generalized linear model (GLM) available through the mecofun package Zurell (2020) and we trained the model on all US data available through the Global Biodiversity Information Facility. We entered each of the environmental variables as a linear and quadratic predictor, and we set the two-sided significance level was set to α &lt; 0.05. After training the model, we qualitatively evaluated its accuracy by projecting the distribution of RIFA under historical climate conditions. Lastly, once the species distribution model was fitted and assessed, we projected future spread over geographic space.</w:t>
      </w:r>
    </w:p>
    <w:p>
      <w:pPr>
        <w:pStyle w:val="Heading1"/>
        <w:numPr>
          <w:ilvl w:val="0"/>
          <w:numId w:val="0"/>
        </w:numPr>
        <w:ind w:left="0" w:hanging="0"/>
        <w:rPr/>
      </w:pPr>
      <w:bookmarkStart w:id="8" w:name="results"/>
      <w:r>
        <w:rPr/>
        <w:t>Results</w:t>
      </w:r>
      <w:bookmarkEnd w:id="8"/>
    </w:p>
    <w:p>
      <w:pPr>
        <w:pStyle w:val="Heading2"/>
        <w:numPr>
          <w:ilvl w:val="0"/>
          <w:numId w:val="0"/>
        </w:numPr>
        <w:ind w:left="0" w:hanging="0"/>
        <w:rPr/>
      </w:pPr>
      <w:bookmarkStart w:id="9" w:name="Xa0d154f6e25f00bf807434d52f6e24d3036772d"/>
      <w:r>
        <w:rPr/>
        <w:t>Current range of Red Imported Fire Ant in Virginia and Comparison to Previous Model</w:t>
      </w:r>
      <w:bookmarkEnd w:id="9"/>
    </w:p>
    <w:p>
      <w:pPr>
        <w:pStyle w:val="FirstParagraph"/>
        <w:rPr/>
      </w:pPr>
      <w:r>
        <w:rPr/>
        <w:t>All together, we recorded a total of 152 confirmed RIFA occurrences in the period 2020–2021 from our different data sources listed above. The number of observations reported from VDACS increased every year since 2016: 6 reports in 2016, 17 reports in 2017, 65 reports in 2018, 71 reports in 2019, and 107 reports in 2020. From the 2020 roadway surveys, we found RIFA present at 9 of 125 sites; eight of these sites occurred at the site closest to the starting point (within 8 km of the Imported Fire Ant Quarantine zone). From the 2021 roadway surveys, we found RIFA present at 6 of the 50 sites, five of these sites occurred at the site closest to the starting point.</w:t>
      </w:r>
    </w:p>
    <w:p>
      <w:pPr>
        <w:pStyle w:val="TextBody"/>
        <w:rPr/>
      </w:pPr>
      <w:r>
        <w:rPr/>
        <w:t>Prior to 2020, no RIFA observations had been recorded in Virginia through iNaturalist. Between 2020 and 2021, there were 25 observations reported through iNaturalists: 24 of the observations were confirmed and one could not be substantiated. Additional 12 observations were collected through the other sources as listed in the methods section. Incidentally, we also found a total of 605 absence points collected from the roadway surveys, VDACS, and data sourced from the Virginia Museum of Natural History (KI), though they are not used here.</w:t>
      </w:r>
    </w:p>
    <w:p>
      <w:pPr>
        <w:pStyle w:val="TextBody"/>
        <w:rPr/>
      </w:pPr>
      <w:r>
        <w:rPr/>
        <w:t>If we combine all these data, 110 of the total 152 RIFA occurrences were reported outside of the quarantine boundaries in 2020 and 2021. Most of these observations were in Halifax (34.5%), Lunenburg (32.7%), and Charlotte (13.6%) with a few observations in Sussex (10.0%) counties, Chesterfield (1.8%), Dinwiddie (1.8%), and Pittsylvania (1.8%) counties. Prior to 2020, VDACS reported a few isolated RIFA observations in the Richmond area (Fig. 2), however these sites appear to be isolated and were not confirmed in 2020 through our prospective surveys.</w:t>
      </w:r>
    </w:p>
    <w:p>
      <w:pPr>
        <w:pStyle w:val="CaptionedFigure"/>
        <w:rPr/>
      </w:pPr>
      <w:r>
        <w:rPr/>
        <w:drawing>
          <wp:inline distT="0" distB="0" distL="0" distR="0">
            <wp:extent cx="5943600" cy="3467100"/>
            <wp:effectExtent l="0" t="0" r="0" b="0"/>
            <wp:docPr id="2" name="Image1" descr="Figure 2. Red imported fire ant occurences in Virginia from 2016 up to 2021 from all data sources. We qualitatively colored these current occurrences by whether Morrison et al. (2005) predicted them to be in the current range (yellow), or future ranges for 2040–2049 (orange) and 2080–2089 (red), respectively. The colors of the points therefore illustrate the discrepancy between Morrison’s predictions and the current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descr="Figure 2. Red imported fire ant occurences in Virginia from 2016 up to 2021 from all data sources. We qualitatively colored these current occurrences by whether Morrison et al. (2005) predicted them to be in the current range (yellow), or future ranges for 2040–2049 (orange) and 2080–2089 (red), respectively. The colors of the points therefore illustrate the discrepancy between Morrison’s predictions and the current range."/>
                    <pic:cNvPicPr>
                      <a:picLocks noChangeAspect="1" noChangeArrowheads="1"/>
                    </pic:cNvPicPr>
                  </pic:nvPicPr>
                  <pic:blipFill>
                    <a:blip r:embed="rId4"/>
                    <a:stretch>
                      <a:fillRect/>
                    </a:stretch>
                  </pic:blipFill>
                  <pic:spPr bwMode="auto">
                    <a:xfrm>
                      <a:off x="0" y="0"/>
                      <a:ext cx="5943600" cy="3467100"/>
                    </a:xfrm>
                    <a:prstGeom prst="rect">
                      <a:avLst/>
                    </a:prstGeom>
                  </pic:spPr>
                </pic:pic>
              </a:graphicData>
            </a:graphic>
          </wp:inline>
        </w:drawing>
      </w:r>
    </w:p>
    <w:p>
      <w:pPr>
        <w:pStyle w:val="ImageCaption"/>
        <w:rPr/>
      </w:pPr>
      <w:r>
        <w:rPr/>
        <w:t>Figure 2. Red imported fire ant occurences in Virginia from 2016 up to 2021 from all data sources. We qualitatively colored these current occurrences by whether Morrison et al. (2005) predicted them to be in the current range (yellow), or future ranges for 2040–2049 (orange) and 2080–2089 (red), respectively. The colors of the points therefore illustrate the discrepancy between Morrison’s predictions and the current range.</w:t>
      </w:r>
    </w:p>
    <w:p>
      <w:pPr>
        <w:pStyle w:val="TextBody"/>
        <w:rPr/>
      </w:pPr>
      <w:r>
        <w:rPr/>
        <w:t>Both westward and northward expansion are greater than expected 15 years ago (Morrison, Korzukhin, and Porter 2005, Fig. 2). For example, by 2020, the range had expanded five cells further than predicted, including into the potential range predicted by 2080–2089. Along the North Carolina border, expansion has increased by three cells, or approximately 128 km past the range expected by Morrison, Korzukhin, and Porter (2005). Northward expansion is one cell or approximately 55 km past the expected range from the Morrison, Korzukhin, and Porter (2005) model (Fig. 2).</w:t>
      </w:r>
    </w:p>
    <w:p>
      <w:pPr>
        <w:pStyle w:val="Heading2"/>
        <w:numPr>
          <w:ilvl w:val="0"/>
          <w:numId w:val="0"/>
        </w:numPr>
        <w:ind w:left="0" w:hanging="0"/>
        <w:rPr/>
      </w:pPr>
      <w:bookmarkStart w:id="10" w:name="X104a212c113ae4cb06982d85659c29764a53d46"/>
      <w:r>
        <w:rPr/>
        <w:t>Species Distribution Model for the red imported fire ants</w:t>
      </w:r>
      <w:bookmarkEnd w:id="10"/>
    </w:p>
    <w:p>
      <w:pPr>
        <w:pStyle w:val="FirstParagraph"/>
        <w:rPr/>
      </w:pPr>
      <w:r>
        <w:rPr/>
        <w:t xml:space="preserve">We built our species distribution model using the GBIF occurrence and generated pseudo-absence data (Fig. 3). Our results indicate that four of the five bioclimatic variables we had selected </w:t>
      </w:r>
      <w:r>
        <w:rPr>
          <w:i/>
        </w:rPr>
        <w:t>a priori</w:t>
      </w:r>
      <w:r>
        <w:rPr/>
        <w:t xml:space="preserve"> for the model building are significant predictors of RIFA presence: annual mean temperature, minimum temperature, average precipitation, and minimum precipitation; maximum temperature was not a significant predictor of RIFA presence (Table 1).</w:t>
      </w:r>
    </w:p>
    <w:p>
      <w:pPr>
        <w:pStyle w:val="CaptionedFigure"/>
        <w:rPr/>
      </w:pPr>
      <w:r>
        <w:rPr/>
        <w:drawing>
          <wp:inline distT="0" distB="0" distL="0" distR="0">
            <wp:extent cx="5943600" cy="4160520"/>
            <wp:effectExtent l="0" t="0" r="0" b="0"/>
            <wp:docPr id="3" name="Image2" descr="Figure 3. GBIF RIFA occurrence data (black semi-transparent crosses) and predictions of current invasion risk based on our species distribution model (dark green represents high risk areas, yellow represents mid risk areas, orange represents low risk areas, and gray represents no risk areas). Note that the model also relied on pseudo-absence data spread across the United States (not shown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descr="Figure 3. GBIF RIFA occurrence data (black semi-transparent crosses) and predictions of current invasion risk based on our species distribution model (dark green represents high risk areas, yellow represents mid risk areas, orange represents low risk areas, and gray represents no risk areas). Note that the model also relied on pseudo-absence data spread across the United States (not shown here)."/>
                    <pic:cNvPicPr>
                      <a:picLocks noChangeAspect="1" noChangeArrowheads="1"/>
                    </pic:cNvPicPr>
                  </pic:nvPicPr>
                  <pic:blipFill>
                    <a:blip r:embed="rId5"/>
                    <a:stretch>
                      <a:fillRect/>
                    </a:stretch>
                  </pic:blipFill>
                  <pic:spPr bwMode="auto">
                    <a:xfrm>
                      <a:off x="0" y="0"/>
                      <a:ext cx="5943600" cy="4160520"/>
                    </a:xfrm>
                    <a:prstGeom prst="rect">
                      <a:avLst/>
                    </a:prstGeom>
                  </pic:spPr>
                </pic:pic>
              </a:graphicData>
            </a:graphic>
          </wp:inline>
        </w:drawing>
      </w:r>
    </w:p>
    <w:p>
      <w:pPr>
        <w:pStyle w:val="ImageCaption"/>
        <w:rPr/>
      </w:pPr>
      <w:r>
        <w:rPr/>
        <w:t>Figure 3. GBIF RIFA occurrence data (black semi-transparent crosses) and predictions of current invasion risk based on our species distribution model (dark green represents high risk areas, yellow represents mid risk areas, orange represents low risk areas, and gray represents no risk areas). Note that the model also relied on pseudo-absence data spread across the United States (not shown here).</w:t>
      </w:r>
    </w:p>
    <w:p>
      <w:pPr>
        <w:pStyle w:val="TableCaption"/>
        <w:rPr/>
      </w:pPr>
      <w:r>
        <w:rPr/>
        <w:t>Table 1. Coefficients from the species distribution model.</w:t>
      </w:r>
    </w:p>
    <w:tbl>
      <w:tblPr>
        <w:tblStyle w:val="Table"/>
        <w:tblW w:w="4500" w:type="pct"/>
        <w:jc w:val="left"/>
        <w:tblInd w:w="0" w:type="dxa"/>
        <w:tblLayout w:type="fixed"/>
        <w:tblCellMar>
          <w:top w:w="0" w:type="dxa"/>
          <w:left w:w="108" w:type="dxa"/>
          <w:bottom w:w="0" w:type="dxa"/>
          <w:right w:w="108" w:type="dxa"/>
        </w:tblCellMar>
        <w:tblLook w:firstRow="1"/>
      </w:tblPr>
      <w:tblGrid>
        <w:gridCol w:w="3758"/>
        <w:gridCol w:w="2851"/>
        <w:gridCol w:w="1296"/>
        <w:gridCol w:w="518"/>
      </w:tblGrid>
      <w:tr>
        <w:trPr>
          <w:cnfStyle w:firstRow="1"/>
        </w:trPr>
        <w:tc>
          <w:tcPr>
            <w:tcW w:w="3758" w:type="dxa"/>
            <w:tcBorders>
              <w:bottom w:val="single" w:sz="6" w:space="0" w:color="000000"/>
            </w:tcBorders>
            <w:vAlign w:val="bottom"/>
          </w:tcPr>
          <w:p>
            <w:pPr>
              <w:pStyle w:val="Normal"/>
              <w:widowControl w:val="false"/>
              <w:spacing w:before="0" w:after="200"/>
              <w:jc w:val="left"/>
              <w:rPr>
                <w:sz w:val="24"/>
              </w:rPr>
            </w:pPr>
            <w:r>
              <w:rPr>
                <w:sz w:val="24"/>
              </w:rPr>
            </w:r>
          </w:p>
        </w:tc>
        <w:tc>
          <w:tcPr>
            <w:tcW w:w="2851" w:type="dxa"/>
            <w:tcBorders>
              <w:bottom w:val="single" w:sz="6" w:space="0" w:color="000000"/>
            </w:tcBorders>
            <w:vAlign w:val="bottom"/>
          </w:tcPr>
          <w:p>
            <w:pPr>
              <w:pStyle w:val="Compact"/>
              <w:widowControl w:val="false"/>
              <w:spacing w:before="36" w:after="36"/>
              <w:jc w:val="center"/>
              <w:rPr/>
            </w:pPr>
            <w:r>
              <w:rPr/>
              <w:t>OR (95% CI)</w:t>
            </w:r>
          </w:p>
        </w:tc>
        <w:tc>
          <w:tcPr>
            <w:tcW w:w="1296" w:type="dxa"/>
            <w:tcBorders>
              <w:bottom w:val="single" w:sz="6" w:space="0" w:color="000000"/>
            </w:tcBorders>
            <w:vAlign w:val="bottom"/>
          </w:tcPr>
          <w:p>
            <w:pPr>
              <w:pStyle w:val="Compact"/>
              <w:widowControl w:val="false"/>
              <w:spacing w:before="36" w:after="36"/>
              <w:jc w:val="center"/>
              <w:rPr/>
            </w:pPr>
            <w:r>
              <w:rPr/>
              <w:t>p</w:t>
            </w:r>
          </w:p>
        </w:tc>
        <w:tc>
          <w:tcPr>
            <w:tcW w:w="518" w:type="dxa"/>
            <w:tcBorders>
              <w:bottom w:val="single" w:sz="6" w:space="0" w:color="000000"/>
            </w:tcBorders>
            <w:vAlign w:val="bottom"/>
          </w:tcPr>
          <w:p>
            <w:pPr>
              <w:pStyle w:val="Normal"/>
              <w:widowControl w:val="false"/>
              <w:spacing w:before="0" w:after="200"/>
              <w:jc w:val="left"/>
              <w:rPr>
                <w:sz w:val="24"/>
              </w:rPr>
            </w:pPr>
            <w:r>
              <w:rPr>
                <w:sz w:val="24"/>
              </w:rPr>
            </w:r>
          </w:p>
        </w:tc>
      </w:tr>
      <w:tr>
        <w:trPr/>
        <w:tc>
          <w:tcPr>
            <w:tcW w:w="3758" w:type="dxa"/>
            <w:tcBorders/>
          </w:tcPr>
          <w:p>
            <w:pPr>
              <w:pStyle w:val="Compact"/>
              <w:widowControl w:val="false"/>
              <w:spacing w:before="36" w:after="36"/>
              <w:jc w:val="left"/>
              <w:rPr/>
            </w:pPr>
            <w:r>
              <w:rPr/>
              <w:t>annual mean temperature</w:t>
            </w:r>
          </w:p>
        </w:tc>
        <w:tc>
          <w:tcPr>
            <w:tcW w:w="2851" w:type="dxa"/>
            <w:tcBorders/>
          </w:tcPr>
          <w:p>
            <w:pPr>
              <w:pStyle w:val="Compact"/>
              <w:widowControl w:val="false"/>
              <w:spacing w:before="36" w:after="36"/>
              <w:jc w:val="center"/>
              <w:rPr/>
            </w:pPr>
            <w:r>
              <w:rPr/>
              <w:t>1.37 (1.30 to 1.45)</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annual mean temperature²</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maximum temperature of the warmest month</w:t>
            </w:r>
          </w:p>
        </w:tc>
        <w:tc>
          <w:tcPr>
            <w:tcW w:w="2851" w:type="dxa"/>
            <w:tcBorders/>
          </w:tcPr>
          <w:p>
            <w:pPr>
              <w:pStyle w:val="Compact"/>
              <w:widowControl w:val="false"/>
              <w:spacing w:before="36" w:after="36"/>
              <w:jc w:val="center"/>
              <w:rPr/>
            </w:pPr>
            <w:r>
              <w:rPr/>
              <w:t>1.02 (0.96 to 1.10)</w:t>
            </w:r>
          </w:p>
        </w:tc>
        <w:tc>
          <w:tcPr>
            <w:tcW w:w="1296" w:type="dxa"/>
            <w:tcBorders/>
          </w:tcPr>
          <w:p>
            <w:pPr>
              <w:pStyle w:val="Compact"/>
              <w:widowControl w:val="false"/>
              <w:spacing w:before="36" w:after="36"/>
              <w:jc w:val="center"/>
              <w:rPr/>
            </w:pPr>
            <w:r>
              <w:rPr/>
              <w:t>0.499</w:t>
            </w:r>
          </w:p>
        </w:tc>
        <w:tc>
          <w:tcPr>
            <w:tcW w:w="518" w:type="dxa"/>
            <w:tcBorders/>
          </w:tcPr>
          <w:p>
            <w:pPr>
              <w:pStyle w:val="Normal"/>
              <w:widowControl w:val="false"/>
              <w:spacing w:before="0" w:after="200"/>
              <w:jc w:val="left"/>
              <w:rPr>
                <w:sz w:val="24"/>
              </w:rPr>
            </w:pPr>
            <w:r>
              <w:rPr>
                <w:sz w:val="24"/>
              </w:rPr>
            </w:r>
          </w:p>
        </w:tc>
      </w:tr>
      <w:tr>
        <w:trPr/>
        <w:tc>
          <w:tcPr>
            <w:tcW w:w="3758" w:type="dxa"/>
            <w:tcBorders/>
          </w:tcPr>
          <w:p>
            <w:pPr>
              <w:pStyle w:val="Compact"/>
              <w:widowControl w:val="false"/>
              <w:spacing w:before="36" w:after="36"/>
              <w:jc w:val="left"/>
              <w:rPr/>
            </w:pPr>
            <w:r>
              <w:rPr/>
              <w:t>maximum temperature of the warmest month²</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0.352</w:t>
            </w:r>
          </w:p>
        </w:tc>
        <w:tc>
          <w:tcPr>
            <w:tcW w:w="518" w:type="dxa"/>
            <w:tcBorders/>
          </w:tcPr>
          <w:p>
            <w:pPr>
              <w:pStyle w:val="Normal"/>
              <w:widowControl w:val="false"/>
              <w:spacing w:before="0" w:after="200"/>
              <w:jc w:val="left"/>
              <w:rPr>
                <w:sz w:val="24"/>
              </w:rPr>
            </w:pPr>
            <w:r>
              <w:rPr>
                <w:sz w:val="24"/>
              </w:rPr>
            </w:r>
          </w:p>
        </w:tc>
      </w:tr>
      <w:tr>
        <w:trPr/>
        <w:tc>
          <w:tcPr>
            <w:tcW w:w="3758" w:type="dxa"/>
            <w:tcBorders/>
          </w:tcPr>
          <w:p>
            <w:pPr>
              <w:pStyle w:val="Compact"/>
              <w:widowControl w:val="false"/>
              <w:spacing w:before="36" w:after="36"/>
              <w:jc w:val="left"/>
              <w:rPr/>
            </w:pPr>
            <w:r>
              <w:rPr/>
              <w:t>minimum temperature of the coldest month</w:t>
            </w:r>
          </w:p>
        </w:tc>
        <w:tc>
          <w:tcPr>
            <w:tcW w:w="2851" w:type="dxa"/>
            <w:tcBorders/>
          </w:tcPr>
          <w:p>
            <w:pPr>
              <w:pStyle w:val="Compact"/>
              <w:widowControl w:val="false"/>
              <w:spacing w:before="36" w:after="36"/>
              <w:jc w:val="center"/>
              <w:rPr/>
            </w:pPr>
            <w:r>
              <w:rPr/>
              <w:t>1.03 (1.02 to 1.04)</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minimum temperature of the coldest month²</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0.012</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annual precipitation</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0.044</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annual precipitation²</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precipitation during the warmest month</w:t>
            </w:r>
          </w:p>
        </w:tc>
        <w:tc>
          <w:tcPr>
            <w:tcW w:w="2851" w:type="dxa"/>
            <w:tcBorders/>
          </w:tcPr>
          <w:p>
            <w:pPr>
              <w:pStyle w:val="Compact"/>
              <w:widowControl w:val="false"/>
              <w:spacing w:before="36" w:after="36"/>
              <w:jc w:val="center"/>
              <w:rPr/>
            </w:pPr>
            <w:r>
              <w:rPr/>
              <w:t>1.14 (1.12 to 1.16)</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r>
        <w:trPr/>
        <w:tc>
          <w:tcPr>
            <w:tcW w:w="3758" w:type="dxa"/>
            <w:tcBorders/>
          </w:tcPr>
          <w:p>
            <w:pPr>
              <w:pStyle w:val="Compact"/>
              <w:widowControl w:val="false"/>
              <w:spacing w:before="36" w:after="36"/>
              <w:jc w:val="left"/>
              <w:rPr/>
            </w:pPr>
            <w:r>
              <w:rPr/>
              <w:t>precipitation during the warmest month²</w:t>
            </w:r>
          </w:p>
        </w:tc>
        <w:tc>
          <w:tcPr>
            <w:tcW w:w="2851" w:type="dxa"/>
            <w:tcBorders/>
          </w:tcPr>
          <w:p>
            <w:pPr>
              <w:pStyle w:val="Compact"/>
              <w:widowControl w:val="false"/>
              <w:spacing w:before="36" w:after="36"/>
              <w:jc w:val="center"/>
              <w:rPr/>
            </w:pPr>
            <w:r>
              <w:rPr/>
              <w:t>1.00 (1.00 to 1.00)</w:t>
            </w:r>
          </w:p>
        </w:tc>
        <w:tc>
          <w:tcPr>
            <w:tcW w:w="1296" w:type="dxa"/>
            <w:tcBorders/>
          </w:tcPr>
          <w:p>
            <w:pPr>
              <w:pStyle w:val="Compact"/>
              <w:widowControl w:val="false"/>
              <w:spacing w:before="36" w:after="36"/>
              <w:jc w:val="center"/>
              <w:rPr/>
            </w:pPr>
            <w:r>
              <w:rPr/>
              <w:t>&lt; 0.001</w:t>
            </w:r>
          </w:p>
        </w:tc>
        <w:tc>
          <w:tcPr>
            <w:tcW w:w="518" w:type="dxa"/>
            <w:tcBorders/>
          </w:tcPr>
          <w:p>
            <w:pPr>
              <w:pStyle w:val="Compact"/>
              <w:widowControl w:val="false"/>
              <w:spacing w:before="36" w:after="36"/>
              <w:jc w:val="left"/>
              <w:rPr/>
            </w:pPr>
            <w:r>
              <w:rPr/>
              <w:t>*</w:t>
            </w:r>
          </w:p>
        </w:tc>
      </w:tr>
    </w:tbl>
    <w:p>
      <w:pPr>
        <w:pStyle w:val="TextBody"/>
        <w:rPr/>
      </w:pPr>
      <w:r>
        <w:rPr/>
        <w:t>Because of both significant linear and quadratic terms present, the partial response curves (Fig. 4) provide a better impression than the coefficient table of how these variables are connected to the possibility of RIFA occurrence. If the annual mean temperature is below 10°C or higher than 25°C, our model predicts that RIFA cannot persist in an area (Fig. 4A). The response curve for the maximum temperature is flat, reflecting the non-significance of that variable (Fig. 4B). Minimum temperature of the coldest month below -10 to -20°C (Fig. 4C) also restrict RIFA range. Annual precipitation is limiting above approx. 1500 mm (Fig. 4D), whereas precipitation during the driest month is limiting on both ends with an optimum around 90 mm (Fig. 4E).</w:t>
      </w:r>
    </w:p>
    <w:p>
      <w:pPr>
        <w:pStyle w:val="CaptionedFigure"/>
        <w:rPr/>
      </w:pPr>
      <w:r>
        <w:rPr/>
        <w:drawing>
          <wp:inline distT="0" distB="0" distL="0" distR="0">
            <wp:extent cx="5943600" cy="1386840"/>
            <wp:effectExtent l="0" t="0" r="0" b="0"/>
            <wp:docPr id="4" name="Image3" descr="Figure 4. Partial response curves showing RIFA occurrence probability based on our species distribution model. A annual mean temperature, B maxiumum temperature of the hottest month, C minimum temperature of the coldest month, D annual precipitation, 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descr="Figure 4. Partial response curves showing RIFA occurrence probability based on our species distribution model. A annual mean temperature, B maxiumum temperature of the hottest month, C minimum temperature of the coldest month, D annual precipitation, E ."/>
                    <pic:cNvPicPr>
                      <a:picLocks noChangeAspect="1" noChangeArrowheads="1"/>
                    </pic:cNvPicPr>
                  </pic:nvPicPr>
                  <pic:blipFill>
                    <a:blip r:embed="rId6"/>
                    <a:stretch>
                      <a:fillRect/>
                    </a:stretch>
                  </pic:blipFill>
                  <pic:spPr bwMode="auto">
                    <a:xfrm>
                      <a:off x="0" y="0"/>
                      <a:ext cx="5943600" cy="1386840"/>
                    </a:xfrm>
                    <a:prstGeom prst="rect">
                      <a:avLst/>
                    </a:prstGeom>
                  </pic:spPr>
                </pic:pic>
              </a:graphicData>
            </a:graphic>
          </wp:inline>
        </w:drawing>
      </w:r>
    </w:p>
    <w:p>
      <w:pPr>
        <w:pStyle w:val="ImageCaption"/>
        <w:rPr/>
      </w:pPr>
      <w:r>
        <w:rPr/>
        <w:t xml:space="preserve">Figure 4. Partial response curves showing RIFA occurrence probability based on our species distribution model. </w:t>
      </w:r>
      <w:r>
        <w:rPr>
          <w:b/>
        </w:rPr>
        <w:t>A</w:t>
      </w:r>
      <w:r>
        <w:rPr/>
        <w:t xml:space="preserve"> annual mean temperature, </w:t>
      </w:r>
      <w:r>
        <w:rPr>
          <w:b/>
        </w:rPr>
        <w:t>B</w:t>
      </w:r>
      <w:r>
        <w:rPr/>
        <w:t xml:space="preserve"> maxiumum temperature of the hottest month, </w:t>
      </w:r>
      <w:r>
        <w:rPr>
          <w:b/>
        </w:rPr>
        <w:t>C</w:t>
      </w:r>
      <w:r>
        <w:rPr/>
        <w:t xml:space="preserve"> minimum temperature of the coldest month, </w:t>
      </w:r>
      <w:r>
        <w:rPr>
          <w:b/>
        </w:rPr>
        <w:t>D</w:t>
      </w:r>
      <w:r>
        <w:rPr/>
        <w:t xml:space="preserve"> annual precipitation, </w:t>
      </w:r>
      <w:r>
        <w:rPr>
          <w:b/>
        </w:rPr>
        <w:t>E</w:t>
      </w:r>
      <w:r>
        <w:rPr/>
        <w:t xml:space="preserve"> .</w:t>
      </w:r>
    </w:p>
    <w:p>
      <w:pPr>
        <w:pStyle w:val="Heading2"/>
        <w:numPr>
          <w:ilvl w:val="0"/>
          <w:numId w:val="0"/>
        </w:numPr>
        <w:ind w:left="0" w:hanging="0"/>
        <w:rPr/>
      </w:pPr>
      <w:bookmarkStart w:id="11" w:name="X6e75d1713e0378ef86103c8c0d57a57555a791b"/>
      <w:r>
        <w:rPr/>
        <w:t>Prediction of Spread Under Current and Future Climatic Conditions</w:t>
      </w:r>
      <w:bookmarkEnd w:id="11"/>
    </w:p>
    <w:p>
      <w:pPr>
        <w:pStyle w:val="FirstParagraph"/>
        <w:rPr/>
      </w:pPr>
      <w:r>
        <w:rPr/>
        <w:t xml:space="preserve">Based on these model parameters, we made predictions regarding the spread of </w:t>
      </w:r>
      <w:r>
        <w:rPr>
          <w:i/>
        </w:rPr>
        <w:t>S. invicta</w:t>
      </w:r>
      <w:r>
        <w:rPr/>
        <w:t xml:space="preserve"> under current and future conditions (Fig. 5). The prediction of current spread across the continental US is reflective of the training data on a larger scale (also compare with Fig. 3), except west of the Mississippi where our model predicts suitable conditions, but there is a gap in empirical occurrence data (Fig. 5A). As we progress in time, the habitable area of RIFA in the southeastern United States is likely to increase by 2050 into 2070, especially through the lower Midwest. Westward expansion through Texas and parts of the Southwest is less likely (Fig. 5B and C). In Virginia, high risk areas for invasion are mostly located along the border with North Carolina and along Virginia’s Coastal Plain and the Delmarva Peninsula (Fig. 5D). Lower suitability areas are currently situated through much of central Virginia and Appalachia. While most of the Piedmont region will be at risk of invasion by 2050 (Fig. 5E), by 2070 RIFA might find suitable climatic conditions even in Roanoke (Fig. 5F). Most of the western part of the state is predicted to be unsuitable for RIFA establishment under current climatic conditions (Fig. 5D), and the Blueridge Mountains may remain unsuitable (Fig. 5E and F).</w:t>
      </w:r>
    </w:p>
    <w:p>
      <w:pPr>
        <w:pStyle w:val="CaptionedFigure"/>
        <w:rPr/>
      </w:pPr>
      <w:r>
        <w:rPr/>
        <w:drawing>
          <wp:inline distT="0" distB="0" distL="0" distR="0">
            <wp:extent cx="5943600" cy="2377440"/>
            <wp:effectExtent l="0" t="0" r="0" b="0"/>
            <wp:docPr id="5" name="Image4" descr="Figure 5. Level of risk of S. invicta spread in the United States (top row) and Virginia (bottom row) on a continuous scale from 0 to 1 (dark green represents high risk areas, yellow represents mid risk areas, orange represents low risk areas, and gray represents no risk areas). A and D show the current possible range, B and E show future possible range for 2050, and C and F show the future possible range for 2070. All predicictions based on climate data from World Clim and our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Figure 5. Level of risk of S. invicta spread in the United States (top row) and Virginia (bottom row) on a continuous scale from 0 to 1 (dark green represents high risk areas, yellow represents mid risk areas, orange represents low risk areas, and gray represents no risk areas). A and D show the current possible range, B and E show future possible range for 2050, and C and F show the future possible range for 2070. All predicictions based on climate data from World Clim and our model."/>
                    <pic:cNvPicPr>
                      <a:picLocks noChangeAspect="1" noChangeArrowheads="1"/>
                    </pic:cNvPicPr>
                  </pic:nvPicPr>
                  <pic:blipFill>
                    <a:blip r:embed="rId7"/>
                    <a:stretch>
                      <a:fillRect/>
                    </a:stretch>
                  </pic:blipFill>
                  <pic:spPr bwMode="auto">
                    <a:xfrm>
                      <a:off x="0" y="0"/>
                      <a:ext cx="5943600" cy="2377440"/>
                    </a:xfrm>
                    <a:prstGeom prst="rect">
                      <a:avLst/>
                    </a:prstGeom>
                  </pic:spPr>
                </pic:pic>
              </a:graphicData>
            </a:graphic>
          </wp:inline>
        </w:drawing>
      </w:r>
    </w:p>
    <w:p>
      <w:pPr>
        <w:pStyle w:val="ImageCaption"/>
        <w:rPr/>
      </w:pPr>
      <w:r>
        <w:rPr/>
        <w:t xml:space="preserve">Figure 5. Level of risk of </w:t>
      </w:r>
      <w:r>
        <w:rPr>
          <w:i/>
        </w:rPr>
        <w:t>S. invicta</w:t>
      </w:r>
      <w:r>
        <w:rPr/>
        <w:t xml:space="preserve"> spread in the United States (top row) and Virginia (bottom row) on a continuous scale from 0 to 1 (dark green represents high risk areas, yellow represents mid risk areas, orange represents low risk areas, and gray represents no risk areas). </w:t>
      </w:r>
      <w:r>
        <w:rPr>
          <w:b/>
        </w:rPr>
        <w:t>A</w:t>
      </w:r>
      <w:r>
        <w:rPr/>
        <w:t xml:space="preserve"> and </w:t>
      </w:r>
      <w:r>
        <w:rPr>
          <w:b/>
        </w:rPr>
        <w:t>D</w:t>
      </w:r>
      <w:r>
        <w:rPr/>
        <w:t xml:space="preserve"> show the current possible range, </w:t>
      </w:r>
      <w:r>
        <w:rPr>
          <w:b/>
        </w:rPr>
        <w:t>B</w:t>
      </w:r>
      <w:r>
        <w:rPr/>
        <w:t xml:space="preserve"> and </w:t>
      </w:r>
      <w:r>
        <w:rPr>
          <w:b/>
        </w:rPr>
        <w:t>E</w:t>
      </w:r>
      <w:r>
        <w:rPr/>
        <w:t xml:space="preserve"> show future possible range for 2050, and </w:t>
      </w:r>
      <w:r>
        <w:rPr>
          <w:b/>
        </w:rPr>
        <w:t>C</w:t>
      </w:r>
      <w:r>
        <w:rPr/>
        <w:t xml:space="preserve"> and </w:t>
      </w:r>
      <w:r>
        <w:rPr>
          <w:b/>
        </w:rPr>
        <w:t>F</w:t>
      </w:r>
      <w:r>
        <w:rPr/>
        <w:t xml:space="preserve"> show the future possible range for 2070. All predicictions based on climate data from World Clim and our model.</w:t>
      </w:r>
    </w:p>
    <w:p>
      <w:pPr>
        <w:pStyle w:val="Heading1"/>
        <w:numPr>
          <w:ilvl w:val="0"/>
          <w:numId w:val="0"/>
        </w:numPr>
        <w:ind w:left="0" w:hanging="0"/>
        <w:rPr/>
      </w:pPr>
      <w:bookmarkStart w:id="12" w:name="discussion"/>
      <w:r>
        <w:rPr/>
        <w:t>Discussion</w:t>
      </w:r>
      <w:bookmarkEnd w:id="12"/>
    </w:p>
    <w:p>
      <w:pPr>
        <w:pStyle w:val="FirstParagraph"/>
        <w:rPr/>
      </w:pPr>
      <w:r>
        <w:rPr/>
        <w:t xml:space="preserve">In this study we outlined the distribution of </w:t>
      </w:r>
      <w:r>
        <w:rPr>
          <w:i/>
        </w:rPr>
        <w:t>S. invicta</w:t>
      </w:r>
      <w:r>
        <w:rPr/>
        <w:t xml:space="preserve"> in Virginia, one of the current range expansion fronts in the United States. Then we qualitatively compared this distribution with a frequently cited prediction model (Morrison, Korzukhin, and Porter 2005) to demonstrate an unexpected, rapid spread of RIFA beyond the previous predictions. Furthermore, we fitted our own species distribution model to GBIF fire ant occurrence data and identified the bioclimatic variables most strongly predictive of RIFA presence. Lastly, we predict that this rapid spread may in fact continue into suitable habitat and that, in the future under a warming climate, the current boundaries may be further permeated. Overall, these data demonstrate the necessity of sound range and border occupation models for invasive species to inform sound management and eradication efforts.</w:t>
      </w:r>
    </w:p>
    <w:p>
      <w:pPr>
        <w:pStyle w:val="TextBody"/>
        <w:rPr/>
      </w:pPr>
      <w:r>
        <w:rPr/>
        <w:t>From 2016–2020, RIFA observations have expanded west into Virginia’s Halifax Co. and north into the City of Richmond. In 2020–2021, expansions continued westward from Halifax Co. towards Pittsylvania Co. Northward expansions continued into Charlotte, Lunenburg, Dinwiddie, Sussex, Surry, and Chesterfield counties. While most RIFA observations were located just outside the 2019 quarantine boundaries, isolated observations have been made as far as the City of Richmond. In 2020–2021, RIFA occurrences were found in 7 counties beyond the quarantine. In 2020, using model measurements from Morrison, Korzukhin, and Porter (2005), expansion had increased by 5 cells (each cell corresponding to approx. 55 km expansion), including areas even beyond the 2040–2049 predicted potential range. Therefore, our results show that both westward and northward RIFA expansion in the state is greater than what was expected 15 years ago by Morrison, Korzukhin, and Porter (2005).</w:t>
      </w:r>
    </w:p>
    <w:p>
      <w:pPr>
        <w:pStyle w:val="TextBody"/>
        <w:rPr/>
      </w:pPr>
      <w:r>
        <w:rPr/>
        <w:t>We used our newly created species distribution model to estimate the potential distribution of RIFA under current and future climate projections. Our model shows that 1) qualitatively the RIFA range is predicted well along the border to North Carolina, 2) RIFA are not occupying the currently suitable habitat in its entirety, and 3) the suitable habitat for RIFA is expected to increase under future climate change, especially if current trajectories (climate change and globalization) do not change. Based on these results, RIFA is likely to continue to expand its range northward along the Atlantic coast and further north into the Midwest (Fig. 5).</w:t>
      </w:r>
    </w:p>
    <w:p>
      <w:pPr>
        <w:pStyle w:val="TextBody"/>
        <w:rPr/>
      </w:pPr>
      <w:r>
        <w:rPr/>
        <w:t>Our model differs from many of earlier colony growth and CLIMEX models [Pimm and Bartell (1980); Stoker et al. (1994); Killion and Grant (1995);Korzukhin et al. (2001);Morrison, Korzukhin, and Porter (2005); Sutherst2005] in that we used a logistic regression on presence / pseudo-absence data with climatic variables as predictors instead of modeling the eco-physiology of the ants. In a previous study, which was largely similar to ours but with a slightly different approach for fitting presence / pseudo-absence data, it was found that these type of models performed well in predicting spread of invasive species (Ward 2006). However, our model also shows the limit of species distribution models and their predictions based on presence and pseudo-absence data: one potential reason why there are no records of RIFA from the Delmarva Peninsula, even though it is predicted to be highly suitable, could be that the Chesapeake Bay acts as a barrier (Fig. 5), which would not be captured in a model solely relying on environmental predictors. A spatially explicit model, taking into account mode of spread, may better predict future range expansions. In that respect, former modeling attempts that linked fire ant life history and ecology to climatic variables (Pimm and Bartell 1980; Stoker et al. 1994; Killion and Grant 1995; Korzukhin et al. 2001; Morrison, Korzukhin, and Porter 2005) could be expanded to include the human component (transportation of ants to new places).</w:t>
      </w:r>
    </w:p>
    <w:p>
      <w:pPr>
        <w:pStyle w:val="TextBody"/>
        <w:rPr/>
      </w:pPr>
      <w:r>
        <w:rPr>
          <w:i/>
        </w:rPr>
        <w:t>S. invicta</w:t>
      </w:r>
      <w:r>
        <w:rPr/>
        <w:t xml:space="preserve"> occurrence is likely to vary from year to year based on changes in temperature (Morrill 1977), moisture (though Sutherst and Maywald (2005) conclude that moisture is not a limiting factor), and land management practices (Summerlin, Olson, and Fick 1976). For example, an unusually cold winter or dry summer could lower ant survival (James et al. 2002; Morrill 1977) and temporarily change the range boundaries. Land management practices such as treating RIFA mounds with insecticides or repeated mowing may cause ants to relocate though re-colonization, which is a quick process (Summerlin, Olson, and Fick 1976). In that sense, the recent rapid expansion we found could reflect recent weather patterns and management practices rather than climatic conditions. However, it is important to note that our species distribution model was trained on US data (excluding our prospective Virginia data), and was able to predict the current range we observed better than previous the model (Morrison, Korzukhin, and Porter 2005). Our model is also in line with models by Korzukhin et al. (2001) and Sutherst and Maywald (2005), though winter kill was predicted to be high and ecological suitability to be low in areas where our data indicate fire ants to be firmly present now.</w:t>
      </w:r>
    </w:p>
    <w:p>
      <w:pPr>
        <w:pStyle w:val="TextBody"/>
        <w:rPr/>
      </w:pPr>
      <w:r>
        <w:rPr/>
        <w:t xml:space="preserve">The discrepancy between our presence data and the earlier model predictions by Morrison, Korzukhin, and Porter (2005) demonstrates that they either 1) underestimated the speed of change in global climate, that 2) the earlier model did not adequately capture the climatic factors affecting RIFA spread, or 3) that evolving RIFA have been freed of earlier climatic constraints (Phillips et al. 2006; Shine, Brown, and Phillips 2011; Kosmala et al. 2018). We cannot conclusively decide among these options, especially since the exact model from Morrison, Korzukhin, and Porter (2005) is not available for us to examine. However, their use of an eco-physiological model suggests points 1 or 3, whereas the saltatory nature of the expansion with stasis and then rapid expansion (Callcott and Collins 1996, see our video from that data at </w:t>
      </w:r>
      <w:hyperlink r:id="rId8">
        <w:r>
          <w:rPr>
            <w:rStyle w:val="InternetLink"/>
          </w:rPr>
          <w:t>https://youtu.be/xVK47N7YBwI</w:t>
        </w:r>
      </w:hyperlink>
      <w:r>
        <w:rPr/>
        <w:t>) is more in line with point 3.</w:t>
      </w:r>
    </w:p>
    <w:p>
      <w:pPr>
        <w:pStyle w:val="TextBody"/>
        <w:rPr/>
      </w:pPr>
      <w:r>
        <w:rPr/>
        <w:t>Based on our results we should continue to monitor and put in place measures to reduce the chance of RIFA establishment, especially at the invasion front in Virginia. As time progresses, we might also expect the spread of RIFA into Kentucky, and even Indiana (Fig. 5B and C). Continued monitoring is needed for early detection of newly invaded areas, which is in turn critical to managing the spread of invasive species. On a broader note, as our comparison of our empirical data to the Morrison, Korzukhin, and Porter (2005) model shows, validating species distribution models is as important as creating them, and models predicting RIFA expansion, including our own, should be continually validated and, if necessary, updated as the expansion continues. It is therefore important that model results are open and can be readily used in a more formal comparison to real world developments than what we have done here.</w:t>
      </w:r>
    </w:p>
    <w:p>
      <w:pPr>
        <w:pStyle w:val="TextBody"/>
        <w:rPr/>
      </w:pPr>
      <w:r>
        <w:rPr/>
        <w:t xml:space="preserve">In conclusion, our study provides an insight into the range expansion of </w:t>
      </w:r>
      <w:r>
        <w:rPr>
          <w:i/>
        </w:rPr>
        <w:t>S. invicta</w:t>
      </w:r>
      <w:r>
        <w:rPr/>
        <w:t xml:space="preserve"> at the border of its suitable North American habitat and elucidates some of the environmental factors associated with its current and future spread. More broadly, these data provide good examples of the effects of changing climate conditions on invasive species expansion and the necessity of frequent model validation in the prediction and therefore management of invasive species.</w:t>
      </w:r>
    </w:p>
    <w:p>
      <w:pPr>
        <w:pStyle w:val="Heading1"/>
        <w:numPr>
          <w:ilvl w:val="0"/>
          <w:numId w:val="0"/>
        </w:numPr>
        <w:ind w:left="0" w:hanging="0"/>
        <w:rPr/>
      </w:pPr>
      <w:bookmarkStart w:id="13" w:name="acknowledgments"/>
      <w:r>
        <w:rPr/>
        <w:t>Acknowledgments</w:t>
      </w:r>
      <w:bookmarkEnd w:id="13"/>
    </w:p>
    <w:p>
      <w:pPr>
        <w:pStyle w:val="FirstParagraph"/>
        <w:rPr/>
      </w:pPr>
      <w:r>
        <w:rPr/>
        <w:t>We are grateful to Dr. Sean Malone for his expertise, resources, and continuous support in the field. The Tidewater AREC staff, especially Austin Branch and the rest of the Entomology Team for their support in the field. We thank everyone who helped in gathering fire ant observation data including Eric Day, Tina Macintyre, Cynthia Gregg, the VDACS Plant Protection Inspectors (Noland Hudson, Cindy Hubbard, Joshua Martin, Jessica Driver, Mohamed Abdalla and Brenda Johnson-Asnicar), the Virginia Museum of Natural History, and the Virginia Master Naturalists.</w:t>
      </w:r>
    </w:p>
    <w:p>
      <w:pPr>
        <w:pStyle w:val="TextBody"/>
        <w:rPr/>
      </w:pPr>
      <w:r>
        <w:rPr/>
        <w:t>This work was supported by the USDA National Institute of Food and Agriculture, Hatch project VA-160129.</w:t>
      </w:r>
    </w:p>
    <w:p>
      <w:pPr>
        <w:pStyle w:val="Heading1"/>
        <w:numPr>
          <w:ilvl w:val="0"/>
          <w:numId w:val="0"/>
        </w:numPr>
        <w:ind w:left="0" w:hanging="0"/>
        <w:rPr/>
      </w:pPr>
      <w:bookmarkStart w:id="14" w:name="gbif"/>
      <w:r>
        <w:rPr/>
        <w:t>GBIF</w:t>
      </w:r>
      <w:bookmarkEnd w:id="14"/>
    </w:p>
    <w:p>
      <w:pPr>
        <w:pStyle w:val="FirstParagraph"/>
        <w:rPr/>
      </w:pPr>
      <w:r>
        <w:rPr/>
        <w:t>The references for the GBIF extractions are: INaturalist Contributors (2022), Wild (2022), Bakker and Creuwels (2022), Questagame (2021), European Bioinformatics Institute (EMBL-EBI) (2021), The International Barcode of Life Consortium (2022), Fisher (2022), Mississippi Entomological Museum (2022), North Carolina State University Insect Collection (2022), BioDiversity4All Citizen Science Observation Dataset (2020), Kim (2021), MCZ Harvard University (2022), Northern Arizona University: Colorado Plateau Biodiversity Center (2022), Grant and Webbink (2022), Archbold Biological Station (2022), Johnson (2019), Texas A&amp;M University (2021), Texas Tech University (2022), Museums Victoria (2021), University of Delaware (2022), Zhuang (2022), Australian Museum (2021), New Mexico State Collection of Arthropods (2022), Song (2018), De Oliveira (2022), Arizona State University Biocollections (2022), Museum and Gallery (2020), Alsina (2021), Arizona Insect Collection (2022), Hinton (2021), H and J (2021).</w:t>
      </w:r>
    </w:p>
    <w:p>
      <w:pPr>
        <w:pStyle w:val="Heading1"/>
        <w:numPr>
          <w:ilvl w:val="0"/>
          <w:numId w:val="0"/>
        </w:numPr>
        <w:ind w:left="0" w:hanging="0"/>
        <w:rPr/>
      </w:pPr>
      <w:bookmarkStart w:id="15" w:name="references"/>
      <w:r>
        <w:rPr/>
        <w:t>References</w:t>
      </w:r>
      <w:bookmarkEnd w:id="15"/>
    </w:p>
    <w:p>
      <w:pPr>
        <w:pStyle w:val="Bibliography"/>
        <w:rPr/>
      </w:pPr>
      <w:bookmarkStart w:id="16" w:name="refs"/>
      <w:bookmarkStart w:id="17" w:name="ref-Adams1983"/>
      <w:r>
        <w:rPr/>
        <w:t xml:space="preserve">Adams, C. T., W. A. Banks, C. S. Lofgren, B. J. Smittle, and D. P. Harlan. 1983. “Impact of the Red Imported Fire Ant, Solenopsis Invicta (Hymenoptera: Formicidae), on the Growth and Yield of Soybeans1.” </w:t>
      </w:r>
      <w:r>
        <w:rPr>
          <w:i/>
        </w:rPr>
        <w:t>Journal of Economic Entomology</w:t>
      </w:r>
      <w:r>
        <w:rPr/>
        <w:t xml:space="preserve"> 76 (5): 1129–32. </w:t>
      </w:r>
      <w:hyperlink r:id="rId9">
        <w:r>
          <w:rPr>
            <w:rStyle w:val="InternetLink"/>
          </w:rPr>
          <w:t>https://doi.org/10.1093/jee/76.5.1129</w:t>
        </w:r>
      </w:hyperlink>
      <w:r>
        <w:rPr/>
        <w:t>.</w:t>
      </w:r>
      <w:bookmarkEnd w:id="17"/>
    </w:p>
    <w:p>
      <w:pPr>
        <w:pStyle w:val="Bibliography"/>
        <w:rPr/>
      </w:pPr>
      <w:bookmarkStart w:id="18" w:name="ref-Alsina2021"/>
      <w:r>
        <w:rPr/>
        <w:t xml:space="preserve">Alsina, Arturo Roig. 2021. “Museo Argentino de Ciencias Naturales "Bernardino Rivadavia" (Macn). Entomology National Collection (Macnen).” </w:t>
      </w:r>
      <w:hyperlink r:id="rId10">
        <w:r>
          <w:rPr>
            <w:rStyle w:val="InternetLink"/>
          </w:rPr>
          <w:t>https://doi.org/10.15468/0cfrpt</w:t>
        </w:r>
      </w:hyperlink>
      <w:r>
        <w:rPr/>
        <w:t>.</w:t>
      </w:r>
      <w:bookmarkEnd w:id="18"/>
    </w:p>
    <w:p>
      <w:pPr>
        <w:pStyle w:val="Bibliography"/>
        <w:rPr/>
      </w:pPr>
      <w:bookmarkStart w:id="19" w:name="ref-ABS2022"/>
      <w:r>
        <w:rPr/>
        <w:t xml:space="preserve">Archbold Biological Station. 2022. “Archbold Biological Station Arthropod Collection.” </w:t>
      </w:r>
      <w:hyperlink r:id="rId11">
        <w:r>
          <w:rPr>
            <w:rStyle w:val="InternetLink"/>
          </w:rPr>
          <w:t>https://doi.org/10.15468/mwyr3t</w:t>
        </w:r>
      </w:hyperlink>
      <w:r>
        <w:rPr/>
        <w:t>.</w:t>
      </w:r>
      <w:bookmarkEnd w:id="19"/>
    </w:p>
    <w:p>
      <w:pPr>
        <w:pStyle w:val="Bibliography"/>
        <w:rPr/>
      </w:pPr>
      <w:bookmarkStart w:id="20" w:name="ref-ArizonaInsectCollection2022"/>
      <w:r>
        <w:rPr/>
        <w:t xml:space="preserve">Arizona Insect Collection, University of. 2022. “University of Arizona Insect Collection.” </w:t>
      </w:r>
      <w:hyperlink r:id="rId12">
        <w:r>
          <w:rPr>
            <w:rStyle w:val="InternetLink"/>
          </w:rPr>
          <w:t>https://doi.org/10.15468/hzkbpg</w:t>
        </w:r>
      </w:hyperlink>
      <w:r>
        <w:rPr/>
        <w:t>.</w:t>
      </w:r>
      <w:bookmarkEnd w:id="20"/>
    </w:p>
    <w:p>
      <w:pPr>
        <w:pStyle w:val="Bibliography"/>
        <w:rPr/>
      </w:pPr>
      <w:bookmarkStart w:id="21" w:name="ref-UniArizonaStateBiocollections2022"/>
      <w:r>
        <w:rPr/>
        <w:t xml:space="preserve">Arizona State University Biocollections. 2022. “Arizona State University Hasbrouck Insect Collection.” </w:t>
      </w:r>
      <w:hyperlink r:id="rId13">
        <w:r>
          <w:rPr>
            <w:rStyle w:val="InternetLink"/>
          </w:rPr>
          <w:t>https://doi.org/10.15468/vv6k58</w:t>
        </w:r>
      </w:hyperlink>
      <w:r>
        <w:rPr/>
        <w:t>.</w:t>
      </w:r>
      <w:bookmarkEnd w:id="21"/>
    </w:p>
    <w:p>
      <w:pPr>
        <w:pStyle w:val="Bibliography"/>
        <w:rPr/>
      </w:pPr>
      <w:bookmarkStart w:id="22" w:name="ref-AustralianMuseum2021"/>
      <w:r>
        <w:rPr/>
        <w:t xml:space="preserve">Australian Museum. 2021. “Australian Museum Provider for Ozcam.” </w:t>
      </w:r>
      <w:hyperlink r:id="rId14">
        <w:r>
          <w:rPr>
            <w:rStyle w:val="InternetLink"/>
          </w:rPr>
          <w:t>https://doi.org/10.15468/e7susi</w:t>
        </w:r>
      </w:hyperlink>
      <w:r>
        <w:rPr/>
        <w:t>.</w:t>
      </w:r>
      <w:bookmarkEnd w:id="22"/>
    </w:p>
    <w:p>
      <w:pPr>
        <w:pStyle w:val="Bibliography"/>
        <w:rPr/>
      </w:pPr>
      <w:bookmarkStart w:id="23" w:name="ref-Bakker2022"/>
      <w:r>
        <w:rPr/>
        <w:t xml:space="preserve">Bakker, Frederique, and Jeroen Creuwels. 2022. “Naturalis Biodiversity Center (Nl) - Hymenoptera.” </w:t>
      </w:r>
      <w:hyperlink r:id="rId15">
        <w:r>
          <w:rPr>
            <w:rStyle w:val="InternetLink"/>
          </w:rPr>
          <w:t>https://doi.org/10.15468/jgywgc</w:t>
        </w:r>
      </w:hyperlink>
      <w:r>
        <w:rPr/>
        <w:t>.</w:t>
      </w:r>
      <w:bookmarkEnd w:id="23"/>
    </w:p>
    <w:p>
      <w:pPr>
        <w:pStyle w:val="Bibliography"/>
        <w:rPr/>
      </w:pPr>
      <w:bookmarkStart w:id="24" w:name="ref-Bertelsmeier2015"/>
      <w:r>
        <w:rPr/>
        <w:t xml:space="preserve">Bertelsmeier, Cleo, Gloria M. Luque, Benjamin D. Hoffmann, and Franck Courchamp. 2015. “Worldwide Ant Invasions Under Climate Change.” </w:t>
      </w:r>
      <w:r>
        <w:rPr>
          <w:i/>
        </w:rPr>
        <w:t>Biodiversity and Conservation</w:t>
      </w:r>
      <w:r>
        <w:rPr/>
        <w:t xml:space="preserve"> 24 (1): 117–28. </w:t>
      </w:r>
      <w:hyperlink r:id="rId16">
        <w:r>
          <w:rPr>
            <w:rStyle w:val="InternetLink"/>
          </w:rPr>
          <w:t>https://doi.org/10.1007/s10531-014-0794-3</w:t>
        </w:r>
      </w:hyperlink>
      <w:r>
        <w:rPr/>
        <w:t>.</w:t>
      </w:r>
      <w:bookmarkEnd w:id="24"/>
    </w:p>
    <w:p>
      <w:pPr>
        <w:pStyle w:val="Bibliography"/>
        <w:rPr/>
      </w:pPr>
      <w:bookmarkStart w:id="25" w:name="ref-BCSOD2020"/>
      <w:r>
        <w:rPr/>
        <w:t xml:space="preserve">BioDiversity4All Citizen Science Observation Dataset. 2020. “Biodiversity4all Research-Grade Observations.” </w:t>
      </w:r>
      <w:hyperlink r:id="rId17">
        <w:r>
          <w:rPr>
            <w:rStyle w:val="InternetLink"/>
          </w:rPr>
          <w:t>https://doi.org/10.15468/njmmp7</w:t>
        </w:r>
      </w:hyperlink>
      <w:r>
        <w:rPr/>
        <w:t>.</w:t>
      </w:r>
      <w:bookmarkEnd w:id="25"/>
    </w:p>
    <w:p>
      <w:pPr>
        <w:pStyle w:val="Bibliography"/>
        <w:rPr/>
      </w:pPr>
      <w:bookmarkStart w:id="26" w:name="ref-Buren1974"/>
      <w:r>
        <w:rPr/>
        <w:t xml:space="preserve">Buren, William F., George E. Allen, Willard H. Whitcomb, Frances E. Lennartz, and Roger N. Williams. 1974. “Zoogeography of the Imported Fire Ants.” </w:t>
      </w:r>
      <w:r>
        <w:rPr>
          <w:i/>
        </w:rPr>
        <w:t>Journal of the New York Entomological Society</w:t>
      </w:r>
      <w:r>
        <w:rPr/>
        <w:t xml:space="preserve"> 82 (2): 113–24.</w:t>
      </w:r>
      <w:bookmarkEnd w:id="26"/>
    </w:p>
    <w:p>
      <w:pPr>
        <w:pStyle w:val="Bibliography"/>
        <w:rPr/>
      </w:pPr>
      <w:bookmarkStart w:id="27" w:name="ref-Callcott1996"/>
      <w:r>
        <w:rPr/>
        <w:t xml:space="preserve">Callcott, Anne-Marie A., and Homer L. Collins. 1996. “Invasion and Range Expansion of Imported Fire Ants (Hymenoptera: Formicidae) in North America from 1918-1995.” </w:t>
      </w:r>
      <w:r>
        <w:rPr>
          <w:i/>
        </w:rPr>
        <w:t>The Florida Entomologist</w:t>
      </w:r>
      <w:r>
        <w:rPr/>
        <w:t xml:space="preserve"> 79 (2): 240. </w:t>
      </w:r>
      <w:hyperlink r:id="rId18">
        <w:r>
          <w:rPr>
            <w:rStyle w:val="InternetLink"/>
          </w:rPr>
          <w:t>https://doi.org/10.2307/3495821</w:t>
        </w:r>
      </w:hyperlink>
      <w:r>
        <w:rPr/>
        <w:t>.</w:t>
      </w:r>
      <w:bookmarkEnd w:id="27"/>
    </w:p>
    <w:p>
      <w:pPr>
        <w:pStyle w:val="Bibliography"/>
        <w:rPr/>
      </w:pPr>
      <w:bookmarkStart w:id="28" w:name="ref-Chamberlain2017"/>
      <w:r>
        <w:rPr/>
        <w:t xml:space="preserve">Chamberlain, Scott, and Carl Boettiger. 2017. “R Python, and Ruby Clients for Gbif Species Occurrence Data.” </w:t>
      </w:r>
      <w:r>
        <w:rPr>
          <w:i/>
        </w:rPr>
        <w:t>PeerJ PrePrints</w:t>
      </w:r>
      <w:r>
        <w:rPr/>
        <w:t xml:space="preserve">. </w:t>
      </w:r>
      <w:hyperlink r:id="rId19">
        <w:r>
          <w:rPr>
            <w:rStyle w:val="InternetLink"/>
          </w:rPr>
          <w:t>https://doi.org/10.7287/peerj.preprints.3304v1</w:t>
        </w:r>
      </w:hyperlink>
      <w:r>
        <w:rPr/>
        <w:t>.</w:t>
      </w:r>
      <w:bookmarkEnd w:id="28"/>
    </w:p>
    <w:p>
      <w:pPr>
        <w:pStyle w:val="Bibliography"/>
        <w:rPr/>
      </w:pPr>
      <w:bookmarkStart w:id="29" w:name="ref-Chen2020a"/>
      <w:r>
        <w:rPr/>
        <w:t xml:space="preserve">Chen, Shuai, Fangyu Ding, Mengmeng Hao, and Dong Jiang. 2020. “Mapping the Potential Global Distribution of Red Imported Fire Ant (Solenopsis Invicta Buren) Based on a Machine Learning Method.” </w:t>
      </w:r>
      <w:r>
        <w:rPr>
          <w:i/>
        </w:rPr>
        <w:t>Sustainability</w:t>
      </w:r>
      <w:r>
        <w:rPr/>
        <w:t xml:space="preserve"> 12 (23): 10182. </w:t>
      </w:r>
      <w:hyperlink r:id="rId20">
        <w:r>
          <w:rPr>
            <w:rStyle w:val="InternetLink"/>
          </w:rPr>
          <w:t>https://doi.org/10.3390/su122310182</w:t>
        </w:r>
      </w:hyperlink>
      <w:r>
        <w:rPr/>
        <w:t>.</w:t>
      </w:r>
      <w:bookmarkEnd w:id="29"/>
    </w:p>
    <w:p>
      <w:pPr>
        <w:pStyle w:val="Bibliography"/>
        <w:rPr/>
      </w:pPr>
      <w:bookmarkStart w:id="30" w:name="ref-Collins2001"/>
      <w:r>
        <w:rPr/>
        <w:t xml:space="preserve">Collins, L., and R. H. Scheffrahn. 2001. “Red Imported Fire Ant.” Retrieved from University of Florida website. </w:t>
      </w:r>
      <w:hyperlink r:id="rId21">
        <w:r>
          <w:rPr>
            <w:rStyle w:val="InternetLink"/>
          </w:rPr>
          <w:t>https://entnemdept.ufl.edu/creatures/urban/ants/red_imported_fire_ant.htm</w:t>
        </w:r>
      </w:hyperlink>
      <w:r>
        <w:rPr/>
        <w:t>.</w:t>
      </w:r>
      <w:bookmarkEnd w:id="30"/>
    </w:p>
    <w:p>
      <w:pPr>
        <w:pStyle w:val="Bibliography"/>
        <w:rPr/>
      </w:pPr>
      <w:bookmarkStart w:id="31" w:name="ref-DeOliveira2022"/>
      <w:r>
        <w:rPr/>
        <w:t xml:space="preserve">De Oliveira, Marcio Luiz. 2022. “Hymenoptera Collection - Instituto Nacional de Pesquisas Da Amazônia (Inpa).” </w:t>
      </w:r>
      <w:hyperlink r:id="rId22">
        <w:r>
          <w:rPr>
            <w:rStyle w:val="InternetLink"/>
          </w:rPr>
          <w:t>https://doi.org/10.15468/eupzne</w:t>
        </w:r>
      </w:hyperlink>
      <w:r>
        <w:rPr/>
        <w:t>.</w:t>
      </w:r>
      <w:bookmarkEnd w:id="31"/>
    </w:p>
    <w:p>
      <w:pPr>
        <w:pStyle w:val="Bibliography"/>
        <w:rPr/>
      </w:pPr>
      <w:bookmarkStart w:id="32" w:name="ref-Drees2006"/>
      <w:r>
        <w:rPr/>
        <w:t>Drees, B. M., and C. F. Lard. 2006. “Imported Fire Ant: Economic Impacts Justifying Integrated Pest Management Programs.”</w:t>
      </w:r>
      <w:bookmarkEnd w:id="32"/>
    </w:p>
    <w:p>
      <w:pPr>
        <w:pStyle w:val="Bibliography"/>
        <w:rPr/>
      </w:pPr>
      <w:bookmarkStart w:id="33" w:name="ref-ESRI2020"/>
      <w:r>
        <w:rPr/>
        <w:t xml:space="preserve">ESRI. n.d. “ArcGIS Online.” </w:t>
      </w:r>
      <w:hyperlink r:id="rId23">
        <w:r>
          <w:rPr>
            <w:rStyle w:val="InternetLink"/>
          </w:rPr>
          <w:t>https://www.esri.com/en-us/arcgis/products/arcgis-online/overview</w:t>
        </w:r>
      </w:hyperlink>
      <w:r>
        <w:rPr/>
        <w:t>.</w:t>
      </w:r>
      <w:bookmarkEnd w:id="33"/>
    </w:p>
    <w:p>
      <w:pPr>
        <w:pStyle w:val="Bibliography"/>
        <w:rPr/>
      </w:pPr>
      <w:bookmarkStart w:id="34" w:name="ref-EBIE2021"/>
      <w:r>
        <w:rPr/>
        <w:t xml:space="preserve">European Bioinformatics Institute (EMBL-EBI). 2021. “INSDC Sequences.” </w:t>
      </w:r>
      <w:hyperlink r:id="rId24">
        <w:r>
          <w:rPr>
            <w:rStyle w:val="InternetLink"/>
          </w:rPr>
          <w:t>https://doi.org/10.15468/sbmztx</w:t>
        </w:r>
      </w:hyperlink>
      <w:r>
        <w:rPr/>
        <w:t>.</w:t>
      </w:r>
      <w:bookmarkEnd w:id="34"/>
    </w:p>
    <w:p>
      <w:pPr>
        <w:pStyle w:val="Bibliography"/>
        <w:rPr/>
      </w:pPr>
      <w:bookmarkStart w:id="35" w:name="ref-Fick2017"/>
      <w:r>
        <w:rPr/>
        <w:t xml:space="preserve">Fick, Stephen E., and Robert J. Hijmans. 2017. “WorldClim 2: New 1-Km Spatial Resolution Climate Surfaces for Global Land Areas.” </w:t>
      </w:r>
      <w:r>
        <w:rPr>
          <w:i/>
        </w:rPr>
        <w:t>International Journal of Climatology</w:t>
      </w:r>
      <w:r>
        <w:rPr/>
        <w:t xml:space="preserve"> 37 (12): 4302–15. </w:t>
      </w:r>
      <w:hyperlink r:id="rId25">
        <w:r>
          <w:rPr>
            <w:rStyle w:val="InternetLink"/>
          </w:rPr>
          <w:t>https://doi.org/10.1002/joc.5086</w:t>
        </w:r>
      </w:hyperlink>
      <w:r>
        <w:rPr/>
        <w:t>.</w:t>
      </w:r>
      <w:bookmarkEnd w:id="35"/>
    </w:p>
    <w:p>
      <w:pPr>
        <w:pStyle w:val="Bibliography"/>
        <w:rPr/>
      </w:pPr>
      <w:bookmarkStart w:id="36" w:name="ref-Fisher2022"/>
      <w:r>
        <w:rPr/>
        <w:t xml:space="preserve">Fisher, Brian. 2022. “AntWeb.” </w:t>
      </w:r>
      <w:hyperlink r:id="rId26">
        <w:r>
          <w:rPr>
            <w:rStyle w:val="InternetLink"/>
          </w:rPr>
          <w:t>https://doi.org/10.15468/wqmjjt</w:t>
        </w:r>
      </w:hyperlink>
      <w:r>
        <w:rPr/>
        <w:t>.</w:t>
      </w:r>
      <w:bookmarkEnd w:id="36"/>
    </w:p>
    <w:p>
      <w:pPr>
        <w:pStyle w:val="Bibliography"/>
        <w:rPr/>
      </w:pPr>
      <w:bookmarkStart w:id="37" w:name="ref-Grant2022"/>
      <w:r>
        <w:rPr/>
        <w:t xml:space="preserve">Grant, Sharon, and Kate Webbink. 2022. “Field Museum of Natural History (Zoology) Insect, Arachnid and Myriapod Collection.” </w:t>
      </w:r>
      <w:hyperlink r:id="rId27">
        <w:r>
          <w:rPr>
            <w:rStyle w:val="InternetLink"/>
          </w:rPr>
          <w:t>https://doi.org/10.15468/0ywfpc</w:t>
        </w:r>
      </w:hyperlink>
      <w:r>
        <w:rPr/>
        <w:t>.</w:t>
      </w:r>
      <w:bookmarkEnd w:id="37"/>
    </w:p>
    <w:p>
      <w:pPr>
        <w:pStyle w:val="Bibliography"/>
        <w:rPr/>
      </w:pPr>
      <w:bookmarkStart w:id="38" w:name="ref-Gutrich2007"/>
      <w:r>
        <w:rPr/>
        <w:t xml:space="preserve">Gutrich, John J., Ellen VanGelder, and Lloyd Loope. 2007. “Potential Economic Impact of Introduction and Spread of the Red Imported Fire Ant, Solenopsis Invicta, in Hawaii.” </w:t>
      </w:r>
      <w:r>
        <w:rPr>
          <w:i/>
        </w:rPr>
        <w:t>Environmental Science &amp; Policy</w:t>
      </w:r>
      <w:r>
        <w:rPr/>
        <w:t xml:space="preserve"> 10 (7-8): 685–96. </w:t>
      </w:r>
      <w:hyperlink r:id="rId28">
        <w:r>
          <w:rPr>
            <w:rStyle w:val="InternetLink"/>
          </w:rPr>
          <w:t>https://doi.org/10.1016/j.envsci.2007.03.007</w:t>
        </w:r>
      </w:hyperlink>
      <w:r>
        <w:rPr/>
        <w:t>.</w:t>
      </w:r>
      <w:bookmarkEnd w:id="38"/>
    </w:p>
    <w:p>
      <w:pPr>
        <w:pStyle w:val="Bibliography"/>
        <w:rPr/>
      </w:pPr>
      <w:bookmarkStart w:id="39" w:name="ref-Kim2021"/>
      <w:r>
        <w:rPr/>
        <w:t xml:space="preserve">H, Kim, and Hwang J. 2021. </w:t>
      </w:r>
      <w:hyperlink r:id="rId29">
        <w:r>
          <w:rPr>
            <w:rStyle w:val="InternetLink"/>
          </w:rPr>
          <w:t>https://doi.org/10.15468/5vu4jc</w:t>
        </w:r>
      </w:hyperlink>
      <w:r>
        <w:rPr/>
        <w:t>.</w:t>
      </w:r>
      <w:bookmarkEnd w:id="39"/>
    </w:p>
    <w:p>
      <w:pPr>
        <w:pStyle w:val="Bibliography"/>
        <w:rPr/>
      </w:pPr>
      <w:bookmarkStart w:id="40" w:name="ref-Hazen2021"/>
      <w:r>
        <w:rPr/>
        <w:t xml:space="preserve">Hazen, Elliott L., Briana Abrahms, Stephanie Brodie, Gemma Carroll, Heather Welch, and Steven J. Bograd. 2021. “Where Did They Not Go? Considerations for Generating Pseudo-Absences for Telemetry-Based Habitat Models.” </w:t>
      </w:r>
      <w:r>
        <w:rPr>
          <w:i/>
        </w:rPr>
        <w:t>Movement Ecology</w:t>
      </w:r>
      <w:r>
        <w:rPr/>
        <w:t xml:space="preserve"> 9 (1). </w:t>
      </w:r>
      <w:hyperlink r:id="rId30">
        <w:r>
          <w:rPr>
            <w:rStyle w:val="InternetLink"/>
          </w:rPr>
          <w:t>https://doi.org/10.1186/s40462-021-00240-2</w:t>
        </w:r>
      </w:hyperlink>
      <w:r>
        <w:rPr/>
        <w:t>.</w:t>
      </w:r>
      <w:bookmarkEnd w:id="40"/>
    </w:p>
    <w:p>
      <w:pPr>
        <w:pStyle w:val="Bibliography"/>
        <w:rPr/>
      </w:pPr>
      <w:bookmarkStart w:id="41" w:name="ref-Hinton2021"/>
      <w:r>
        <w:rPr/>
        <w:t xml:space="preserve">Hinton, Philip. 2021. “Auckland Museum Entomology Collection.” </w:t>
      </w:r>
      <w:hyperlink r:id="rId31">
        <w:r>
          <w:rPr>
            <w:rStyle w:val="InternetLink"/>
          </w:rPr>
          <w:t>https://doi.org/10.15468/cade8j</w:t>
        </w:r>
      </w:hyperlink>
      <w:r>
        <w:rPr/>
        <w:t>.</w:t>
      </w:r>
      <w:bookmarkEnd w:id="41"/>
    </w:p>
    <w:p>
      <w:pPr>
        <w:pStyle w:val="Bibliography"/>
        <w:rPr/>
      </w:pPr>
      <w:bookmarkStart w:id="42" w:name="ref-Hoffmann2011"/>
      <w:r>
        <w:rPr/>
        <w:t xml:space="preserve">Hoffmann, Ben, Peter Davis, Kathy Gott, Craig Jennings, Stephanie Joe, Paul Krushelnycky, Ross Miller, Garry Webb, and Marc Widmer. 2011. “Improving Ant Eradications: Details of More Successes, a Global Synthesis and Recommendations.” </w:t>
      </w:r>
      <w:r>
        <w:rPr>
          <w:i/>
        </w:rPr>
        <w:t>Aliens</w:t>
      </w:r>
      <w:r>
        <w:rPr/>
        <w:t>, no. 31: 16–23.</w:t>
      </w:r>
      <w:bookmarkEnd w:id="42"/>
    </w:p>
    <w:p>
      <w:pPr>
        <w:pStyle w:val="Bibliography"/>
        <w:rPr/>
      </w:pPr>
      <w:bookmarkStart w:id="43" w:name="ref-APHIS2019"/>
      <w:r>
        <w:rPr>
          <w:i/>
        </w:rPr>
        <w:t>Imported Fire Ant Program Manual</w:t>
      </w:r>
      <w:r>
        <w:rPr/>
        <w:t>. 2019. U.S. Department of Agriculture APHIS.</w:t>
      </w:r>
      <w:bookmarkEnd w:id="43"/>
    </w:p>
    <w:p>
      <w:pPr>
        <w:pStyle w:val="Bibliography"/>
        <w:rPr/>
      </w:pPr>
      <w:bookmarkStart w:id="44" w:name="ref-INaturalistContributors2022"/>
      <w:r>
        <w:rPr/>
        <w:t xml:space="preserve">INaturalist Contributors. 2022. “INaturalist Research-Grade Observations.” </w:t>
      </w:r>
      <w:hyperlink r:id="rId32">
        <w:r>
          <w:rPr>
            <w:rStyle w:val="InternetLink"/>
          </w:rPr>
          <w:t>https://doi.org/10.15468/ab3s5x</w:t>
        </w:r>
      </w:hyperlink>
      <w:r>
        <w:rPr/>
        <w:t>.</w:t>
      </w:r>
      <w:bookmarkEnd w:id="44"/>
    </w:p>
    <w:p>
      <w:pPr>
        <w:pStyle w:val="Bibliography"/>
        <w:rPr/>
      </w:pPr>
      <w:bookmarkStart w:id="45" w:name="ref-James2002"/>
      <w:r>
        <w:rPr/>
        <w:t xml:space="preserve">James, Shannon S., Roberto M. Pereira, Karen M. Vail, and Bonnie H. Ownley. 2002. “Survival of Imported Fire Ant (Hymenoptera: Formicidae) Species Subjected to Freezing and Near-Freezing Temperatures.” </w:t>
      </w:r>
      <w:r>
        <w:rPr>
          <w:i/>
        </w:rPr>
        <w:t>Environmental Entomology</w:t>
      </w:r>
      <w:r>
        <w:rPr/>
        <w:t xml:space="preserve"> 31 (1): 127–33. </w:t>
      </w:r>
      <w:hyperlink r:id="rId33">
        <w:r>
          <w:rPr>
            <w:rStyle w:val="InternetLink"/>
          </w:rPr>
          <w:t>https://doi.org/10.1603/0046-225X-31.1.127</w:t>
        </w:r>
      </w:hyperlink>
      <w:r>
        <w:rPr/>
        <w:t>.</w:t>
      </w:r>
      <w:bookmarkEnd w:id="45"/>
    </w:p>
    <w:p>
      <w:pPr>
        <w:pStyle w:val="Bibliography"/>
        <w:rPr/>
      </w:pPr>
      <w:bookmarkStart w:id="46" w:name="ref-Johnson2019"/>
      <w:r>
        <w:rPr/>
        <w:t xml:space="preserve">Johnson, Norman. 2019. “Cleveland Museum of Natural History.” </w:t>
      </w:r>
      <w:hyperlink r:id="rId34">
        <w:r>
          <w:rPr>
            <w:rStyle w:val="InternetLink"/>
          </w:rPr>
          <w:t>https://doi.org/10.15468/bmfgag</w:t>
        </w:r>
      </w:hyperlink>
      <w:r>
        <w:rPr/>
        <w:t>.</w:t>
      </w:r>
      <w:bookmarkEnd w:id="46"/>
    </w:p>
    <w:p>
      <w:pPr>
        <w:pStyle w:val="Bibliography"/>
        <w:rPr/>
      </w:pPr>
      <w:bookmarkStart w:id="47" w:name="ref-Kemp2000"/>
      <w:r>
        <w:rPr/>
        <w:t>Kemp, S. F., R. D. deShazo, J. E. Moffitt, D. F. Williams, and W. A. Buhner. 2000. “Expanding Habitat of the Imported Fire Ant (</w:t>
      </w:r>
      <w:r>
        <w:rPr>
          <w:i/>
        </w:rPr>
        <w:t>Solenopsis Invicta</w:t>
      </w:r>
      <w:r>
        <w:rPr/>
        <w:t xml:space="preserve">): A Public Health Concern.” </w:t>
      </w:r>
      <w:r>
        <w:rPr>
          <w:i/>
        </w:rPr>
        <w:t>Journal of Allergy and Clinical Immunology</w:t>
      </w:r>
      <w:r>
        <w:rPr/>
        <w:t xml:space="preserve"> 105 (4): 683–91. </w:t>
      </w:r>
      <w:hyperlink r:id="rId35">
        <w:r>
          <w:rPr>
            <w:rStyle w:val="InternetLink"/>
          </w:rPr>
          <w:t>https://doi.org/10.1067/mai.2000.105707</w:t>
        </w:r>
      </w:hyperlink>
      <w:r>
        <w:rPr/>
        <w:t>.</w:t>
      </w:r>
      <w:bookmarkEnd w:id="47"/>
    </w:p>
    <w:p>
      <w:pPr>
        <w:pStyle w:val="Bibliography"/>
        <w:rPr/>
      </w:pPr>
      <w:bookmarkStart w:id="48" w:name="ref-Killion1995"/>
      <w:r>
        <w:rPr/>
        <w:t xml:space="preserve">Killion, Michael J., and William E. Grant. 1995. “A Colony-Growth Model for the Imported Fire Ant: Potential Geographic Range of an Invading Species.” </w:t>
      </w:r>
      <w:r>
        <w:rPr>
          <w:i/>
        </w:rPr>
        <w:t>Ecological Modelling</w:t>
      </w:r>
      <w:r>
        <w:rPr/>
        <w:t xml:space="preserve"> 77 (1): 73–84. </w:t>
      </w:r>
      <w:hyperlink r:id="rId36">
        <w:r>
          <w:rPr>
            <w:rStyle w:val="InternetLink"/>
          </w:rPr>
          <w:t>https://doi.org/10.1016/0304-3800(94)00029-H</w:t>
        </w:r>
      </w:hyperlink>
      <w:r>
        <w:rPr/>
        <w:t>.</w:t>
      </w:r>
      <w:bookmarkEnd w:id="48"/>
    </w:p>
    <w:p>
      <w:pPr>
        <w:pStyle w:val="Bibliography"/>
        <w:rPr/>
      </w:pPr>
      <w:bookmarkStart w:id="49" w:name="ref-Kim2021a"/>
      <w:r>
        <w:rPr/>
        <w:t xml:space="preserve">Kim, Jun Hee. 2021. </w:t>
      </w:r>
      <w:hyperlink r:id="rId37">
        <w:r>
          <w:rPr>
            <w:rStyle w:val="InternetLink"/>
          </w:rPr>
          <w:t>https://doi.org/10.15468/799jax</w:t>
        </w:r>
      </w:hyperlink>
      <w:r>
        <w:rPr/>
        <w:t>.</w:t>
      </w:r>
      <w:bookmarkEnd w:id="49"/>
    </w:p>
    <w:p>
      <w:pPr>
        <w:pStyle w:val="Bibliography"/>
        <w:rPr/>
      </w:pPr>
      <w:bookmarkStart w:id="50" w:name="ref-King2008"/>
      <w:r>
        <w:rPr/>
        <w:t xml:space="preserve">King, J. R., and W. R. Tschinkel. 2008. “Experimental Evidence That Human Impacts Drive Fire Ant Invasions and Ecological Change.” </w:t>
      </w:r>
      <w:r>
        <w:rPr>
          <w:i/>
        </w:rPr>
        <w:t>Proceedings of the National Academy of Sciences</w:t>
      </w:r>
      <w:r>
        <w:rPr/>
        <w:t xml:space="preserve"> 105 (51): 20339–43. </w:t>
      </w:r>
      <w:hyperlink r:id="rId38">
        <w:r>
          <w:rPr>
            <w:rStyle w:val="InternetLink"/>
          </w:rPr>
          <w:t>https://doi.org/10.1073/pnas.0809423105</w:t>
        </w:r>
      </w:hyperlink>
      <w:r>
        <w:rPr/>
        <w:t>.</w:t>
      </w:r>
      <w:bookmarkEnd w:id="50"/>
    </w:p>
    <w:p>
      <w:pPr>
        <w:pStyle w:val="Bibliography"/>
        <w:rPr/>
      </w:pPr>
      <w:bookmarkStart w:id="51" w:name="ref-Korzukhin2001"/>
      <w:r>
        <w:rPr/>
        <w:t>Korzukhin, Michael D., Sanford D. Porter, Lynne C. Thompson, and Suzanne Wiley. 2001. “Modeling Temperature-Dependent Range Limits for the Fire Ant</w:t>
      </w:r>
      <w:r>
        <w:rPr/>
      </w:r>
      <m:oMath xmlns:m="http://schemas.openxmlformats.org/officeDocument/2006/math"/>
      <w:r>
        <w:rPr/>
        <w:t>i</w:t>
      </w:r>
      <w:r>
        <w:rPr/>
      </w:r>
      <m:oMath xmlns:m="http://schemas.openxmlformats.org/officeDocument/2006/math"/>
      <w:r>
        <w:rPr/>
        <w:t>Solenopsis Invicta</w:t>
      </w:r>
      <w:r>
        <w:rPr/>
      </w:r>
      <m:oMath xmlns:m="http://schemas.openxmlformats.org/officeDocument/2006/math"/>
      <w:r>
        <w:rPr/>
        <w:t>/I</w:t>
      </w:r>
      <w:r>
        <w:rPr/>
      </w:r>
      <m:oMath xmlns:m="http://schemas.openxmlformats.org/officeDocument/2006/math"/>
      <w:r>
        <w:rPr/>
        <w:t xml:space="preserve">(Hymenoptera: Formicidae) in the United States.” </w:t>
      </w:r>
      <w:r>
        <w:rPr>
          <w:i/>
        </w:rPr>
        <w:t>Environmental Entomology</w:t>
      </w:r>
      <w:r>
        <w:rPr/>
        <w:t xml:space="preserve"> 30 (4): 645–55. </w:t>
      </w:r>
      <w:hyperlink r:id="rId39">
        <w:r>
          <w:rPr>
            <w:rStyle w:val="InternetLink"/>
          </w:rPr>
          <w:t>https://doi.org/10.1603/0046-225X-30.4.645</w:t>
        </w:r>
      </w:hyperlink>
      <w:r>
        <w:rPr/>
        <w:t>.</w:t>
      </w:r>
      <w:bookmarkEnd w:id="51"/>
    </w:p>
    <w:p>
      <w:pPr>
        <w:pStyle w:val="Bibliography"/>
        <w:rPr/>
      </w:pPr>
      <w:bookmarkStart w:id="52" w:name="ref-Kosmala2018"/>
      <w:r>
        <w:rPr/>
        <w:t xml:space="preserve">Kosmala, Georgia K., Gregory P. Brown, Keith A. Christian, Cameron M. Hudson, and Richard Shine. 2018. “The Thermal Dependency of Locomotor Performance Evolves Rapidly Within an Invasive Species.” </w:t>
      </w:r>
      <w:r>
        <w:rPr>
          <w:i/>
        </w:rPr>
        <w:t>Ecology and Evolution</w:t>
      </w:r>
      <w:r>
        <w:rPr/>
        <w:t xml:space="preserve"> 8 (9): 4403–8. </w:t>
      </w:r>
      <w:hyperlink r:id="rId40">
        <w:r>
          <w:rPr>
            <w:rStyle w:val="InternetLink"/>
          </w:rPr>
          <w:t>https://doi.org/10.1002/ece3.3996</w:t>
        </w:r>
      </w:hyperlink>
      <w:r>
        <w:rPr/>
        <w:t>.</w:t>
      </w:r>
      <w:bookmarkEnd w:id="52"/>
    </w:p>
    <w:p>
      <w:pPr>
        <w:pStyle w:val="Bibliography"/>
        <w:rPr/>
      </w:pPr>
      <w:bookmarkStart w:id="53" w:name="ref-Langkilde2009"/>
      <w:r>
        <w:rPr/>
        <w:t xml:space="preserve">Langkilde, Tracy. 2009. “Invasive Fire Ants Alter Behavior and Morphology of Native Lizards.” </w:t>
      </w:r>
      <w:r>
        <w:rPr>
          <w:i/>
        </w:rPr>
        <w:t>Ecology</w:t>
      </w:r>
      <w:r>
        <w:rPr/>
        <w:t xml:space="preserve"> 90 (1): 208–17. </w:t>
      </w:r>
      <w:hyperlink r:id="rId41">
        <w:r>
          <w:rPr>
            <w:rStyle w:val="InternetLink"/>
          </w:rPr>
          <w:t>https://doi.org/10.1890/08-0355.1</w:t>
        </w:r>
      </w:hyperlink>
      <w:r>
        <w:rPr/>
        <w:t>.</w:t>
      </w:r>
      <w:bookmarkEnd w:id="53"/>
    </w:p>
    <w:p>
      <w:pPr>
        <w:pStyle w:val="Bibliography"/>
        <w:rPr/>
      </w:pPr>
      <w:bookmarkStart w:id="54" w:name="ref-Lessard2009"/>
      <w:r>
        <w:rPr/>
        <w:t xml:space="preserve">Lessard, Jean-Philippe, James A. Fordyce, Nicholas J. Gotelli, and Nathan J. Sanders. 2009. “Invasive Ants Alter the Phylogenetic Structure of Ant Communities.” </w:t>
      </w:r>
      <w:r>
        <w:rPr>
          <w:i/>
        </w:rPr>
        <w:t>Ecology</w:t>
      </w:r>
      <w:r>
        <w:rPr/>
        <w:t xml:space="preserve"> 90 (10): 2664–9. </w:t>
      </w:r>
      <w:hyperlink r:id="rId42">
        <w:r>
          <w:rPr>
            <w:rStyle w:val="InternetLink"/>
          </w:rPr>
          <w:t>https://doi.org/10.1890/09-0503.1</w:t>
        </w:r>
      </w:hyperlink>
      <w:r>
        <w:rPr/>
        <w:t>.</w:t>
      </w:r>
      <w:bookmarkEnd w:id="54"/>
    </w:p>
    <w:p>
      <w:pPr>
        <w:pStyle w:val="Bibliography"/>
        <w:rPr/>
      </w:pPr>
      <w:bookmarkStart w:id="55" w:name="ref-Lodge2006"/>
      <w:r>
        <w:rPr/>
        <w:t xml:space="preserve">Lodge, David M., Susan Williams, Hugh J. MacIsaac, Keith R. Hayes, Brian Leung, Sarah Reichard, Richard N. Mack, et al. 2006. “Biological Invasions: Recommendations for U.S. Policy and Management.” </w:t>
      </w:r>
      <w:r>
        <w:rPr>
          <w:i/>
        </w:rPr>
        <w:t>Ecological Applications</w:t>
      </w:r>
      <w:r>
        <w:rPr/>
        <w:t xml:space="preserve"> 16 (6): 2035–54. </w:t>
      </w:r>
      <w:hyperlink r:id="rId43">
        <w:r>
          <w:rPr>
            <w:rStyle w:val="InternetLink"/>
          </w:rPr>
          <w:t>https://doi.org/10.1890/1051-0761(2006)016[2035:BIRFUP]2.0.CO;2</w:t>
        </w:r>
      </w:hyperlink>
      <w:r>
        <w:rPr/>
        <w:t>.</w:t>
      </w:r>
      <w:bookmarkEnd w:id="55"/>
    </w:p>
    <w:p>
      <w:pPr>
        <w:pStyle w:val="Bibliography"/>
        <w:rPr/>
      </w:pPr>
      <w:bookmarkStart w:id="56" w:name="ref-Lowe2000"/>
      <w:r>
        <w:rPr/>
        <w:t>Lowe, Browne, S. 2000. “100 of the Worldâs Worst Invasive Alien Species: A Selection from the Global Invasive Species Database.” Auckland: Invasive Species Specialist Group.</w:t>
      </w:r>
      <w:bookmarkEnd w:id="56"/>
    </w:p>
    <w:p>
      <w:pPr>
        <w:pStyle w:val="Bibliography"/>
        <w:rPr/>
      </w:pPr>
      <w:bookmarkStart w:id="57" w:name="ref-DiMarco2015"/>
      <w:r>
        <w:rPr/>
        <w:t xml:space="preserve">Marco, Moreno Di, and Luca Santini. 2015. “Human Pressures Predict Species’ Geographic Range Size Better Than Biological Traits.” </w:t>
      </w:r>
      <w:r>
        <w:rPr>
          <w:i/>
        </w:rPr>
        <w:t>Global Change Biology</w:t>
      </w:r>
      <w:r>
        <w:rPr/>
        <w:t xml:space="preserve"> 21 (6): 2169–78. </w:t>
      </w:r>
      <w:hyperlink r:id="rId44">
        <w:r>
          <w:rPr>
            <w:rStyle w:val="InternetLink"/>
          </w:rPr>
          <w:t>https://doi.org/10.1111/gcb.12834</w:t>
        </w:r>
      </w:hyperlink>
      <w:r>
        <w:rPr/>
        <w:t>.</w:t>
      </w:r>
      <w:bookmarkEnd w:id="57"/>
    </w:p>
    <w:p>
      <w:pPr>
        <w:pStyle w:val="Bibliography"/>
        <w:rPr/>
      </w:pPr>
      <w:bookmarkStart w:id="58" w:name="ref-MCZHarvard2022"/>
      <w:r>
        <w:rPr/>
        <w:t xml:space="preserve">MCZ Harvard University. 2022. “Museum of Comparative Zoology, Harvard University.” </w:t>
      </w:r>
      <w:hyperlink r:id="rId45">
        <w:r>
          <w:rPr>
            <w:rStyle w:val="InternetLink"/>
          </w:rPr>
          <w:t>https://doi.org/10.15468/p5rupv</w:t>
        </w:r>
      </w:hyperlink>
      <w:r>
        <w:rPr/>
        <w:t>.</w:t>
      </w:r>
      <w:bookmarkEnd w:id="58"/>
    </w:p>
    <w:p>
      <w:pPr>
        <w:pStyle w:val="Bibliography"/>
        <w:rPr/>
      </w:pPr>
      <w:bookmarkStart w:id="59" w:name="ref-Miller2019"/>
      <w:r>
        <w:rPr/>
        <w:t>Miller, Dini, and Hamilton Allen. 2019. “Red Imported Fire Ant (Rifa).” Virginia Cooperative Extension Publication.</w:t>
      </w:r>
      <w:bookmarkEnd w:id="59"/>
    </w:p>
    <w:p>
      <w:pPr>
        <w:pStyle w:val="Bibliography"/>
        <w:rPr/>
      </w:pPr>
      <w:bookmarkStart w:id="60" w:name="ref-Miller2010"/>
      <w:r>
        <w:rPr/>
        <w:t xml:space="preserve">Miller, Jennifer. 2010. “Species Distribution Modeling.” </w:t>
      </w:r>
      <w:r>
        <w:rPr>
          <w:i/>
        </w:rPr>
        <w:t>Geography Compass</w:t>
      </w:r>
      <w:r>
        <w:rPr/>
        <w:t xml:space="preserve"> 4 (6): 490–509. </w:t>
      </w:r>
      <w:hyperlink r:id="rId46">
        <w:r>
          <w:rPr>
            <w:rStyle w:val="InternetLink"/>
          </w:rPr>
          <w:t>https://doi.org/10.1111/j.1749-8198.2010.00351.x</w:t>
        </w:r>
      </w:hyperlink>
      <w:r>
        <w:rPr/>
        <w:t>.</w:t>
      </w:r>
      <w:bookmarkEnd w:id="60"/>
    </w:p>
    <w:p>
      <w:pPr>
        <w:pStyle w:val="Bibliography"/>
        <w:rPr/>
      </w:pPr>
      <w:bookmarkStart w:id="61" w:name="ref-MEM2022"/>
      <w:r>
        <w:rPr/>
        <w:t xml:space="preserve">Mississippi Entomological Museum. 2022. “Mississippi Entomological Museum.” </w:t>
      </w:r>
      <w:hyperlink r:id="rId47">
        <w:r>
          <w:rPr>
            <w:rStyle w:val="InternetLink"/>
          </w:rPr>
          <w:t>https://doi.org/10.15468/iuhxpw</w:t>
        </w:r>
      </w:hyperlink>
      <w:r>
        <w:rPr/>
        <w:t>.</w:t>
      </w:r>
      <w:bookmarkEnd w:id="61"/>
    </w:p>
    <w:p>
      <w:pPr>
        <w:pStyle w:val="Bibliography"/>
        <w:rPr/>
      </w:pPr>
      <w:bookmarkStart w:id="62" w:name="ref-Morrill1977"/>
      <w:r>
        <w:rPr/>
        <w:t xml:space="preserve">Morrill, Wendell L. 1977. “Overwinter Survival of the Red Imported Fire Ant in Central Georgia.” </w:t>
      </w:r>
      <w:r>
        <w:rPr>
          <w:i/>
        </w:rPr>
        <w:t>Environmental Entomology</w:t>
      </w:r>
      <w:r>
        <w:rPr/>
        <w:t xml:space="preserve"> 6 (1): 50–52. </w:t>
      </w:r>
      <w:hyperlink r:id="rId48">
        <w:r>
          <w:rPr>
            <w:rStyle w:val="InternetLink"/>
          </w:rPr>
          <w:t>https://doi.org/10.1093/ee/6.1.50</w:t>
        </w:r>
      </w:hyperlink>
      <w:r>
        <w:rPr/>
        <w:t>.</w:t>
      </w:r>
      <w:bookmarkEnd w:id="62"/>
    </w:p>
    <w:p>
      <w:pPr>
        <w:pStyle w:val="Bibliography"/>
        <w:rPr/>
      </w:pPr>
      <w:bookmarkStart w:id="63" w:name="ref-Morrison2005"/>
      <w:r>
        <w:rPr/>
        <w:t xml:space="preserve">Morrison, Lloyd W., Michael D. Korzukhin, and Sanford D. Porter. 2005. “Predicted Range Expansion of the Invasive Fire Ant, Solenopsis Invicta, in the Eastern United States Based on the VEMAP Global Warming Scenario.” </w:t>
      </w:r>
      <w:r>
        <w:rPr>
          <w:i/>
        </w:rPr>
        <w:t>Diversity and Distributions</w:t>
      </w:r>
      <w:r>
        <w:rPr/>
        <w:t xml:space="preserve"> 11 (3): 199–204. </w:t>
      </w:r>
      <w:hyperlink r:id="rId49">
        <w:r>
          <w:rPr>
            <w:rStyle w:val="InternetLink"/>
          </w:rPr>
          <w:t>https://doi.org/10.1111/j.1366-9516.2005.00142.x</w:t>
        </w:r>
      </w:hyperlink>
      <w:r>
        <w:rPr/>
        <w:t>.</w:t>
      </w:r>
      <w:bookmarkEnd w:id="63"/>
    </w:p>
    <w:p>
      <w:pPr>
        <w:pStyle w:val="Bibliography"/>
        <w:rPr/>
      </w:pPr>
      <w:bookmarkStart w:id="64" w:name="ref-QueenVictoriaMuseum2020"/>
      <w:r>
        <w:rPr/>
        <w:t xml:space="preserve">Museum, Queen Victoria, and Art Gallery. 2020. “Queen Victoria Museum Art Gallery Provider for Ozcam.” </w:t>
      </w:r>
      <w:hyperlink r:id="rId50">
        <w:r>
          <w:rPr>
            <w:rStyle w:val="InternetLink"/>
          </w:rPr>
          <w:t>https://doi.org/10.15468/tedfxn</w:t>
        </w:r>
      </w:hyperlink>
      <w:r>
        <w:rPr/>
        <w:t>.</w:t>
      </w:r>
      <w:bookmarkEnd w:id="64"/>
    </w:p>
    <w:p>
      <w:pPr>
        <w:pStyle w:val="Bibliography"/>
        <w:rPr/>
      </w:pPr>
      <w:bookmarkStart w:id="65" w:name="ref-MuseumsVictoria2021"/>
      <w:r>
        <w:rPr/>
        <w:t xml:space="preserve">Museums Victoria. 2021. “Museums Victoria Provider for Ozcam.” </w:t>
      </w:r>
      <w:hyperlink r:id="rId51">
        <w:r>
          <w:rPr>
            <w:rStyle w:val="InternetLink"/>
          </w:rPr>
          <w:t>https://doi.org/10.15468/lp1ctu</w:t>
        </w:r>
      </w:hyperlink>
      <w:r>
        <w:rPr/>
        <w:t>.</w:t>
      </w:r>
      <w:bookmarkEnd w:id="65"/>
    </w:p>
    <w:p>
      <w:pPr>
        <w:pStyle w:val="Bibliography"/>
        <w:rPr/>
      </w:pPr>
      <w:bookmarkStart w:id="66" w:name="ref-NMSCA2022"/>
      <w:r>
        <w:rPr/>
        <w:t xml:space="preserve">New Mexico State Collection of Arthropods. 2022. “New Mexico State Collection of Arthropods.” </w:t>
      </w:r>
      <w:hyperlink r:id="rId52">
        <w:r>
          <w:rPr>
            <w:rStyle w:val="InternetLink"/>
          </w:rPr>
          <w:t>https://doi.org/10.15468/nn3cel</w:t>
        </w:r>
      </w:hyperlink>
      <w:r>
        <w:rPr/>
        <w:t>.</w:t>
      </w:r>
      <w:bookmarkEnd w:id="66"/>
    </w:p>
    <w:p>
      <w:pPr>
        <w:pStyle w:val="Bibliography"/>
        <w:rPr/>
      </w:pPr>
      <w:bookmarkStart w:id="67" w:name="ref-UNCSInsectCollection2022"/>
      <w:r>
        <w:rPr/>
        <w:t xml:space="preserve">North Carolina State University Insect Collection. 2022. “North Carolina State University Insect Collection.” </w:t>
      </w:r>
      <w:hyperlink r:id="rId53">
        <w:r>
          <w:rPr>
            <w:rStyle w:val="InternetLink"/>
          </w:rPr>
          <w:t>https://doi.org/10.15468/3ck2nw</w:t>
        </w:r>
      </w:hyperlink>
      <w:r>
        <w:rPr/>
        <w:t>.</w:t>
      </w:r>
      <w:bookmarkEnd w:id="67"/>
    </w:p>
    <w:p>
      <w:pPr>
        <w:pStyle w:val="Bibliography"/>
        <w:rPr/>
      </w:pPr>
      <w:bookmarkStart w:id="68" w:name="X0d167c181b932c7590a1726e75227c9052188d9"/>
      <w:r>
        <w:rPr/>
        <w:t xml:space="preserve">Northern Arizona University: Colorado Plateau Biodiversity Center. 2022. “Colorado Plateau Museum of Arthropod Biodiversity.” </w:t>
      </w:r>
      <w:hyperlink r:id="rId54">
        <w:r>
          <w:rPr>
            <w:rStyle w:val="InternetLink"/>
          </w:rPr>
          <w:t>https://doi.org/10.15468/du1hci</w:t>
        </w:r>
      </w:hyperlink>
      <w:r>
        <w:rPr/>
        <w:t>.</w:t>
      </w:r>
      <w:bookmarkEnd w:id="68"/>
    </w:p>
    <w:p>
      <w:pPr>
        <w:pStyle w:val="Bibliography"/>
        <w:rPr/>
      </w:pPr>
      <w:bookmarkStart w:id="69" w:name="ref-Phillips2006"/>
      <w:r>
        <w:rPr/>
        <w:t xml:space="preserve">Phillips, Benjamin L., Gregory P. Brown, Jonathan K. Webb, and Richard Shine. 2006. “Invasion and the Evolution of Speed in Toads.” </w:t>
      </w:r>
      <w:r>
        <w:rPr>
          <w:i/>
        </w:rPr>
        <w:t>Nature</w:t>
      </w:r>
      <w:r>
        <w:rPr/>
        <w:t xml:space="preserve"> 439 (7078): 803–3. </w:t>
      </w:r>
      <w:hyperlink r:id="rId55">
        <w:r>
          <w:rPr>
            <w:rStyle w:val="InternetLink"/>
          </w:rPr>
          <w:t>https://doi.org/10.1038/439803a</w:t>
        </w:r>
      </w:hyperlink>
      <w:r>
        <w:rPr/>
        <w:t>.</w:t>
      </w:r>
      <w:bookmarkEnd w:id="69"/>
    </w:p>
    <w:p>
      <w:pPr>
        <w:pStyle w:val="Bibliography"/>
        <w:rPr/>
      </w:pPr>
      <w:bookmarkStart w:id="70" w:name="ref-Pimm1980"/>
      <w:r>
        <w:rPr/>
        <w:t xml:space="preserve">Pimm, S. L., and D. P. Bartell. 1980. “Statistical Model for Predicting Range Expansion of the Red Imported Fire Ant, Solenopsis Invicta , 1 in Texas 2.” </w:t>
      </w:r>
      <w:r>
        <w:rPr>
          <w:i/>
        </w:rPr>
        <w:t>Environmental Entomology</w:t>
      </w:r>
      <w:r>
        <w:rPr/>
        <w:t xml:space="preserve"> 9 (5): 653–58. </w:t>
      </w:r>
      <w:hyperlink r:id="rId56">
        <w:r>
          <w:rPr>
            <w:rStyle w:val="InternetLink"/>
          </w:rPr>
          <w:t>https://doi.org/10.1093/ee/9.5.653</w:t>
        </w:r>
      </w:hyperlink>
      <w:r>
        <w:rPr/>
        <w:t>.</w:t>
      </w:r>
      <w:bookmarkEnd w:id="70"/>
    </w:p>
    <w:p>
      <w:pPr>
        <w:pStyle w:val="Bibliography"/>
        <w:rPr/>
      </w:pPr>
      <w:bookmarkStart w:id="71" w:name="ref-Porter1988"/>
      <w:r>
        <w:rPr/>
        <w:t xml:space="preserve">Porter, Sanford D. 1988. “Impact of Temperature on Colony Growth and Developmental Rates of the Ant, Solenopsis Invicta.” </w:t>
      </w:r>
      <w:r>
        <w:rPr>
          <w:i/>
        </w:rPr>
        <w:t>Journal of Insect Physiology</w:t>
      </w:r>
      <w:r>
        <w:rPr/>
        <w:t xml:space="preserve"> 34 (12): 1127–33. </w:t>
      </w:r>
      <w:hyperlink r:id="rId57">
        <w:r>
          <w:rPr>
            <w:rStyle w:val="InternetLink"/>
          </w:rPr>
          <w:t>https://doi.org/10.1016/0022-1910(88)90215-6</w:t>
        </w:r>
      </w:hyperlink>
      <w:r>
        <w:rPr/>
        <w:t>.</w:t>
      </w:r>
      <w:bookmarkEnd w:id="71"/>
    </w:p>
    <w:p>
      <w:pPr>
        <w:pStyle w:val="Bibliography"/>
        <w:rPr/>
      </w:pPr>
      <w:bookmarkStart w:id="72" w:name="ref-Porter1993"/>
      <w:r>
        <w:rPr/>
        <w:t xml:space="preserve">Porter, SanfordD., and WalterR. Tschinkel. 1993. “Fire Ant Thermal Preferences: Behavioral Control of Growth and Metabolism.” </w:t>
      </w:r>
      <w:r>
        <w:rPr>
          <w:i/>
        </w:rPr>
        <w:t>Behavioral Ecology and Sociobiology</w:t>
      </w:r>
      <w:r>
        <w:rPr/>
        <w:t xml:space="preserve"> 32 (5). </w:t>
      </w:r>
      <w:hyperlink r:id="rId58">
        <w:r>
          <w:rPr>
            <w:rStyle w:val="InternetLink"/>
          </w:rPr>
          <w:t>https://doi.org/10.1007/BF00183787</w:t>
        </w:r>
      </w:hyperlink>
      <w:r>
        <w:rPr/>
        <w:t>.</w:t>
      </w:r>
      <w:bookmarkEnd w:id="72"/>
    </w:p>
    <w:p>
      <w:pPr>
        <w:pStyle w:val="Bibliography"/>
        <w:rPr/>
      </w:pPr>
      <w:bookmarkStart w:id="73" w:name="ref-Questagame2021"/>
      <w:r>
        <w:rPr/>
        <w:t xml:space="preserve">Questagame. 2021. “Earth Guardians Weekly Feed.” </w:t>
      </w:r>
      <w:hyperlink r:id="rId59">
        <w:r>
          <w:rPr>
            <w:rStyle w:val="InternetLink"/>
          </w:rPr>
          <w:t>https://doi.org/10.15468/slqqt8</w:t>
        </w:r>
      </w:hyperlink>
      <w:r>
        <w:rPr/>
        <w:t>.</w:t>
      </w:r>
      <w:bookmarkEnd w:id="73"/>
    </w:p>
    <w:p>
      <w:pPr>
        <w:pStyle w:val="Bibliography"/>
        <w:rPr/>
      </w:pPr>
      <w:bookmarkStart w:id="74" w:name="ref-RCoreTeam2020"/>
      <w:r>
        <w:rPr/>
        <w:t xml:space="preserve">R Core Team. 2020. </w:t>
      </w:r>
      <w:r>
        <w:rPr>
          <w:i/>
        </w:rPr>
        <w:t>R: A Language and Environment for Statistical Computing</w:t>
      </w:r>
      <w:r>
        <w:rPr/>
        <w:t xml:space="preserve">. Vienna, Austria: R Foundation for Statistical Computing. </w:t>
      </w:r>
      <w:hyperlink r:id="rId60">
        <w:r>
          <w:rPr>
            <w:rStyle w:val="InternetLink"/>
          </w:rPr>
          <w:t>https://www.R-project.org/</w:t>
        </w:r>
      </w:hyperlink>
      <w:r>
        <w:rPr/>
        <w:t>.</w:t>
      </w:r>
      <w:bookmarkEnd w:id="74"/>
    </w:p>
    <w:p>
      <w:pPr>
        <w:pStyle w:val="Bibliography"/>
        <w:rPr/>
      </w:pPr>
      <w:bookmarkStart w:id="75" w:name="ref-Ross2008"/>
      <w:r>
        <w:rPr/>
        <w:t>Ross, Kenneth G, and D. DeWayne Shoemaker. 2008. “Estimation of the Number of Founders of an Invasive Pest Insect Population: The Fire Ant</w:t>
      </w:r>
      <w:r>
        <w:rPr/>
      </w:r>
      <m:oMath xmlns:m="http://schemas.openxmlformats.org/officeDocument/2006/math"/>
      <w:r>
        <w:rPr/>
        <w:t>i</w:t>
      </w:r>
      <w:r>
        <w:rPr/>
      </w:r>
      <m:oMath xmlns:m="http://schemas.openxmlformats.org/officeDocument/2006/math"/>
      <w:r>
        <w:rPr/>
        <w:t>Solenopsis Invicta</w:t>
      </w:r>
      <w:r>
        <w:rPr/>
      </w:r>
      <m:oMath xmlns:m="http://schemas.openxmlformats.org/officeDocument/2006/math"/>
      <w:r>
        <w:rPr/>
        <w:t>/I</w:t>
      </w:r>
      <w:r>
        <w:rPr/>
      </w:r>
      <m:oMath xmlns:m="http://schemas.openxmlformats.org/officeDocument/2006/math"/>
      <w:r>
        <w:rPr/>
        <w:t xml:space="preserve">in the USA.” </w:t>
      </w:r>
      <w:r>
        <w:rPr>
          <w:i/>
        </w:rPr>
        <w:t>Proceedings of the Royal Society B: Biological Sciences</w:t>
      </w:r>
      <w:r>
        <w:rPr/>
        <w:t xml:space="preserve"> 275 (1648): 2231–40. </w:t>
      </w:r>
      <w:hyperlink r:id="rId61">
        <w:r>
          <w:rPr>
            <w:rStyle w:val="InternetLink"/>
          </w:rPr>
          <w:t>https://doi.org/10.1098/rspb.2008.0412</w:t>
        </w:r>
      </w:hyperlink>
      <w:r>
        <w:rPr/>
        <w:t>.</w:t>
      </w:r>
      <w:bookmarkEnd w:id="75"/>
    </w:p>
    <w:p>
      <w:pPr>
        <w:pStyle w:val="Bibliography"/>
        <w:rPr/>
      </w:pPr>
      <w:bookmarkStart w:id="76" w:name="ref-Rosson2004"/>
      <w:r>
        <w:rPr/>
        <w:t xml:space="preserve">Rosson, J. L. 2004. “Abiotic and Biotic Factors Affecting the Distribution of </w:t>
      </w:r>
      <w:r>
        <w:rPr>
          <w:i/>
        </w:rPr>
        <w:t>Solenopsis Invicta</w:t>
      </w:r>
      <w:r>
        <w:rPr/>
        <w:t xml:space="preserve"> Buren, </w:t>
      </w:r>
      <w:r>
        <w:rPr>
          <w:i/>
        </w:rPr>
        <w:t>Brachymyrmex Sp.</w:t>
      </w:r>
      <w:r>
        <w:rPr/>
        <w:t xml:space="preserve">, And </w:t>
      </w:r>
      <w:r>
        <w:rPr>
          <w:i/>
        </w:rPr>
        <w:t>Linepithema Humile</w:t>
      </w:r>
      <w:r>
        <w:rPr/>
        <w:t xml:space="preserve"> (Mayr) in East Baton Rouge Parish, Louisiana.” Master’s thesis, Louisiana State Univeristy.</w:t>
      </w:r>
      <w:bookmarkEnd w:id="76"/>
    </w:p>
    <w:p>
      <w:pPr>
        <w:pStyle w:val="Bibliography"/>
        <w:rPr/>
      </w:pPr>
      <w:bookmarkStart w:id="77" w:name="ref-Seebens2017"/>
      <w:r>
        <w:rPr/>
        <w:t xml:space="preserve">Seebens, Hanno, Tim M. Blackburn, Ellie E. Dyer, Piero Genovesi, Philip E. Hulme, Jonathan M. Jeschke, Shyama Pagad, et al. 2017. “No Saturation in the Accumulation of Alien Species Worldwide.” </w:t>
      </w:r>
      <w:r>
        <w:rPr>
          <w:i/>
        </w:rPr>
        <w:t>Nature Communications</w:t>
      </w:r>
      <w:r>
        <w:rPr/>
        <w:t xml:space="preserve"> 8 (1). </w:t>
      </w:r>
      <w:hyperlink r:id="rId62">
        <w:r>
          <w:rPr>
            <w:rStyle w:val="InternetLink"/>
          </w:rPr>
          <w:t>https://doi.org/10.1038/ncomms14435</w:t>
        </w:r>
      </w:hyperlink>
      <w:r>
        <w:rPr/>
        <w:t>.</w:t>
      </w:r>
      <w:bookmarkEnd w:id="77"/>
    </w:p>
    <w:p>
      <w:pPr>
        <w:pStyle w:val="Bibliography"/>
        <w:rPr/>
      </w:pPr>
      <w:bookmarkStart w:id="78" w:name="ref-Shine2011"/>
      <w:r>
        <w:rPr/>
        <w:t xml:space="preserve">Shine, Richard, Gregory P. Brown, and Benjamin L. Phillips. 2011. “An Evolutionary Process That Assembles Phenotypes Through Space Rather Than Through Time.” </w:t>
      </w:r>
      <w:r>
        <w:rPr>
          <w:i/>
        </w:rPr>
        <w:t>Proceedings of the National Academy of Sciences</w:t>
      </w:r>
      <w:r>
        <w:rPr/>
        <w:t xml:space="preserve"> 108 (14): 5708–11. </w:t>
      </w:r>
      <w:hyperlink r:id="rId63">
        <w:r>
          <w:rPr>
            <w:rStyle w:val="InternetLink"/>
          </w:rPr>
          <w:t>https://doi.org/10.1073/pnas.1018989108</w:t>
        </w:r>
      </w:hyperlink>
      <w:r>
        <w:rPr/>
        <w:t>.</w:t>
      </w:r>
      <w:bookmarkEnd w:id="78"/>
    </w:p>
    <w:p>
      <w:pPr>
        <w:pStyle w:val="Bibliography"/>
        <w:rPr/>
      </w:pPr>
      <w:bookmarkStart w:id="79" w:name="ref-Song2018"/>
      <w:r>
        <w:rPr/>
        <w:t xml:space="preserve">Song, Hojun. 2018. “Stuart M. Fullerton Collection of Arthropods (Ucfc), University of Central Florida.” </w:t>
      </w:r>
      <w:hyperlink r:id="rId64">
        <w:r>
          <w:rPr>
            <w:rStyle w:val="InternetLink"/>
          </w:rPr>
          <w:t>https://doi.org/10.15468/kyulwg</w:t>
        </w:r>
      </w:hyperlink>
      <w:r>
        <w:rPr/>
        <w:t>.</w:t>
      </w:r>
      <w:bookmarkEnd w:id="79"/>
    </w:p>
    <w:p>
      <w:pPr>
        <w:pStyle w:val="Bibliography"/>
        <w:rPr/>
      </w:pPr>
      <w:bookmarkStart w:id="80" w:name="ref-Stoker1994"/>
      <w:r>
        <w:rPr/>
        <w:t xml:space="preserve">Stoker, Revin L., David K. Ferris, William E. Grant, and L.Joseph Folse. 1994. “Simulating Colonization by Exotic Species: A Model of the Red Imported Fire Ant (Solenopsis Invicta) in North America.” </w:t>
      </w:r>
      <w:r>
        <w:rPr>
          <w:i/>
        </w:rPr>
        <w:t>Ecological Modelling</w:t>
      </w:r>
      <w:r>
        <w:rPr/>
        <w:t xml:space="preserve"> 73 (3-4): 281–92. </w:t>
      </w:r>
      <w:hyperlink r:id="rId65">
        <w:r>
          <w:rPr>
            <w:rStyle w:val="InternetLink"/>
          </w:rPr>
          <w:t>https://doi.org/10.1016/0304-3800(94)90066-3</w:t>
        </w:r>
      </w:hyperlink>
      <w:r>
        <w:rPr/>
        <w:t>.</w:t>
      </w:r>
      <w:bookmarkEnd w:id="80"/>
    </w:p>
    <w:p>
      <w:pPr>
        <w:pStyle w:val="Bibliography"/>
        <w:rPr/>
      </w:pPr>
      <w:bookmarkStart w:id="81" w:name="ref-Summerlin1976"/>
      <w:r>
        <w:rPr/>
        <w:t xml:space="preserve">Summerlin, J. W., J. K. Olson, and John O. Fick. 1976. “Red Imported Fire Ant: Levels of Infestation in Different Land Management Areas of the Texas Coastal Prairies and an Appraisal of the Control Program in Fort Bend County, Texas123.” </w:t>
      </w:r>
      <w:r>
        <w:rPr>
          <w:i/>
        </w:rPr>
        <w:t>Journal of Economic Entomology</w:t>
      </w:r>
      <w:r>
        <w:rPr/>
        <w:t xml:space="preserve"> 69 (1): 73–78. </w:t>
      </w:r>
      <w:hyperlink r:id="rId66">
        <w:r>
          <w:rPr>
            <w:rStyle w:val="InternetLink"/>
          </w:rPr>
          <w:t>https://doi.org/10.1093/jee/69.1.73</w:t>
        </w:r>
      </w:hyperlink>
      <w:r>
        <w:rPr/>
        <w:t>.</w:t>
      </w:r>
      <w:bookmarkEnd w:id="81"/>
    </w:p>
    <w:p>
      <w:pPr>
        <w:pStyle w:val="Bibliography"/>
        <w:rPr/>
      </w:pPr>
      <w:bookmarkStart w:id="82" w:name="ref-Sung2018"/>
      <w:r>
        <w:rPr/>
        <w:t xml:space="preserve">Sung, Sunyong, Yong-Su Kwon, Dong Kun Lee, and Youngho Cho. 2018. “Predicting the Potential Distribution of an Invasive Species, Solenopsis Invicta Buren (Hymenoptera: Formicidae), Under Climate Change Using Species Distribution Models.” </w:t>
      </w:r>
      <w:r>
        <w:rPr>
          <w:i/>
        </w:rPr>
        <w:t>Entomological Research</w:t>
      </w:r>
      <w:r>
        <w:rPr/>
        <w:t xml:space="preserve"> 48 (6): 505–13. </w:t>
      </w:r>
      <w:hyperlink r:id="rId67">
        <w:r>
          <w:rPr>
            <w:rStyle w:val="InternetLink"/>
          </w:rPr>
          <w:t>https://doi.org/10.1111/1748-5967.12325</w:t>
        </w:r>
      </w:hyperlink>
      <w:r>
        <w:rPr/>
        <w:t>.</w:t>
      </w:r>
      <w:bookmarkEnd w:id="82"/>
    </w:p>
    <w:p>
      <w:pPr>
        <w:pStyle w:val="Bibliography"/>
        <w:rPr/>
      </w:pPr>
      <w:bookmarkStart w:id="83" w:name="ref-Sutherst2005"/>
      <w:r>
        <w:rPr/>
        <w:t xml:space="preserve">Sutherst, Robert W., and Gunter Maywald. 2005. “A Climate Model of the Red Imported Fire Ant,Solenopsis invictaBuren (Hymenoptera: Formicidae): Implications for Invasion of New Regions, Particularly Oceania.” </w:t>
      </w:r>
      <w:r>
        <w:rPr>
          <w:i/>
        </w:rPr>
        <w:t>Environmental Entomology</w:t>
      </w:r>
      <w:r>
        <w:rPr/>
        <w:t xml:space="preserve"> 34 (2): 317–35. </w:t>
      </w:r>
      <w:hyperlink r:id="rId68">
        <w:r>
          <w:rPr>
            <w:rStyle w:val="InternetLink"/>
          </w:rPr>
          <w:t>https://doi.org/10.1603/0046-225x-34.2.317</w:t>
        </w:r>
      </w:hyperlink>
      <w:r>
        <w:rPr/>
        <w:t>.</w:t>
      </w:r>
      <w:bookmarkEnd w:id="83"/>
    </w:p>
    <w:p>
      <w:pPr>
        <w:pStyle w:val="Bibliography"/>
        <w:rPr/>
      </w:pPr>
      <w:bookmarkStart w:id="84" w:name="ref-UniTexasAM2021"/>
      <w:r>
        <w:rPr/>
        <w:t xml:space="preserve">Texas A&amp;M University. 2021. “Texas a&amp;M University Insect Collection.” </w:t>
      </w:r>
      <w:hyperlink r:id="rId69">
        <w:r>
          <w:rPr>
            <w:rStyle w:val="InternetLink"/>
          </w:rPr>
          <w:t>https://doi.org/10.15468/caprqh</w:t>
        </w:r>
      </w:hyperlink>
      <w:r>
        <w:rPr/>
        <w:t>.</w:t>
      </w:r>
      <w:bookmarkEnd w:id="84"/>
    </w:p>
    <w:p>
      <w:pPr>
        <w:pStyle w:val="Bibliography"/>
        <w:rPr/>
      </w:pPr>
      <w:bookmarkStart w:id="85" w:name="ref-TTU2022"/>
      <w:r>
        <w:rPr/>
        <w:t xml:space="preserve">Texas Tech University. 2022. “Texas Tech University - Invertebrate Zoology.” </w:t>
      </w:r>
      <w:hyperlink r:id="rId70">
        <w:r>
          <w:rPr>
            <w:rStyle w:val="InternetLink"/>
          </w:rPr>
          <w:t>https://doi.org/10.15468/ga4bmd</w:t>
        </w:r>
      </w:hyperlink>
      <w:r>
        <w:rPr/>
        <w:t>.</w:t>
      </w:r>
      <w:bookmarkEnd w:id="85"/>
    </w:p>
    <w:p>
      <w:pPr>
        <w:pStyle w:val="Bibliography"/>
        <w:rPr/>
      </w:pPr>
      <w:bookmarkStart w:id="86" w:name="ref-IBLC2022"/>
      <w:r>
        <w:rPr/>
        <w:t xml:space="preserve">The International Barcode of Life Consortium. 2022. “International Barcode of Life Project (iBOL).” </w:t>
      </w:r>
      <w:hyperlink r:id="rId71">
        <w:r>
          <w:rPr>
            <w:rStyle w:val="InternetLink"/>
          </w:rPr>
          <w:t>https://doi.org/10.15468/inygc6</w:t>
        </w:r>
      </w:hyperlink>
      <w:r>
        <w:rPr/>
        <w:t>.</w:t>
      </w:r>
      <w:bookmarkEnd w:id="86"/>
    </w:p>
    <w:p>
      <w:pPr>
        <w:pStyle w:val="Bibliography"/>
        <w:rPr/>
      </w:pPr>
      <w:bookmarkStart w:id="87" w:name="ref-Thorvilson1992"/>
      <w:r>
        <w:rPr/>
        <w:t xml:space="preserve">Thorvilson, Harlan G., James C. Cokendolpher, and Sherman A. Phillips. 1992. “Survival of the Red Imported Fire Ant (Hymenoptera: Formicidae) on the Texas High Plains.” </w:t>
      </w:r>
      <w:r>
        <w:rPr>
          <w:i/>
        </w:rPr>
        <w:t>Environmental Entomology</w:t>
      </w:r>
      <w:r>
        <w:rPr/>
        <w:t xml:space="preserve"> 21 (5): 964–68. </w:t>
      </w:r>
      <w:hyperlink r:id="rId72">
        <w:r>
          <w:rPr>
            <w:rStyle w:val="InternetLink"/>
          </w:rPr>
          <w:t>https://doi.org/10.1093/ee/21.5.964</w:t>
        </w:r>
      </w:hyperlink>
      <w:r>
        <w:rPr/>
        <w:t>.</w:t>
      </w:r>
      <w:bookmarkEnd w:id="87"/>
    </w:p>
    <w:p>
      <w:pPr>
        <w:pStyle w:val="Bibliography"/>
        <w:rPr/>
      </w:pPr>
      <w:bookmarkStart w:id="88" w:name="ref-Tschinkel2006"/>
      <w:r>
        <w:rPr/>
        <w:t xml:space="preserve">Tschinkel, Walter R. 2006. </w:t>
      </w:r>
      <w:r>
        <w:rPr>
          <w:i/>
        </w:rPr>
        <w:t>The Fire Ants</w:t>
      </w:r>
      <w:r>
        <w:rPr/>
        <w:t>. Edited by Walter R. Tschinkel. Belknap Press of Harvard University Press.</w:t>
      </w:r>
      <w:bookmarkEnd w:id="88"/>
    </w:p>
    <w:p>
      <w:pPr>
        <w:pStyle w:val="Bibliography"/>
        <w:rPr/>
      </w:pPr>
      <w:bookmarkStart w:id="89" w:name="ref-UniDelaware2022"/>
      <w:r>
        <w:rPr/>
        <w:t xml:space="preserve">University of Delaware. 2022. “University of Delaware Insect Research Collection.” </w:t>
      </w:r>
      <w:hyperlink r:id="rId73">
        <w:r>
          <w:rPr>
            <w:rStyle w:val="InternetLink"/>
          </w:rPr>
          <w:t>https://doi.org/10.15468/1hrpha</w:t>
        </w:r>
      </w:hyperlink>
      <w:r>
        <w:rPr/>
        <w:t>.</w:t>
      </w:r>
      <w:bookmarkEnd w:id="89"/>
    </w:p>
    <w:p>
      <w:pPr>
        <w:pStyle w:val="Bibliography"/>
        <w:rPr/>
      </w:pPr>
      <w:bookmarkStart w:id="90" w:name="ref-Vinson1997"/>
      <w:r>
        <w:rPr/>
        <w:t xml:space="preserve">Vinson, S.B. 1997. “Invasion of the Red Imported Fire Ant (Hymenoptera: Formicidae): Spread, Biology, and Impact.” </w:t>
      </w:r>
      <w:r>
        <w:rPr>
          <w:i/>
        </w:rPr>
        <w:t>American Entomologist</w:t>
      </w:r>
      <w:r>
        <w:rPr/>
        <w:t xml:space="preserve"> 43: 23–39.</w:t>
      </w:r>
      <w:bookmarkEnd w:id="90"/>
    </w:p>
    <w:p>
      <w:pPr>
        <w:pStyle w:val="Bibliography"/>
        <w:rPr/>
      </w:pPr>
      <w:bookmarkStart w:id="91" w:name="ref-Vinson2013"/>
      <w:r>
        <w:rPr/>
        <w:t xml:space="preserve">Vinson, S. Bradleigh. 2013. “Impact of the Invasion of the Imported Fire Ant.” </w:t>
      </w:r>
      <w:r>
        <w:rPr>
          <w:i/>
        </w:rPr>
        <w:t>Insect Science</w:t>
      </w:r>
      <w:r>
        <w:rPr/>
        <w:t xml:space="preserve"> 20 (4): 439–55. </w:t>
      </w:r>
      <w:hyperlink r:id="rId74">
        <w:r>
          <w:rPr>
            <w:rStyle w:val="InternetLink"/>
          </w:rPr>
          <w:t>https://doi.org/10.1111/j.1744-7917.2012.01572.x</w:t>
        </w:r>
      </w:hyperlink>
      <w:r>
        <w:rPr/>
        <w:t>.</w:t>
      </w:r>
      <w:bookmarkEnd w:id="91"/>
    </w:p>
    <w:p>
      <w:pPr>
        <w:pStyle w:val="Bibliography"/>
        <w:rPr/>
      </w:pPr>
      <w:bookmarkStart w:id="92" w:name="ref-Wang2019"/>
      <w:r>
        <w:rPr/>
        <w:t xml:space="preserve">Wang, Lei, Yi-juan Xu, Ling Zeng, and Yong-yue Lu. 2019. “Impact of the Red Imported Fire Ant </w:t>
      </w:r>
      <w:r>
        <w:rPr>
          <w:i/>
        </w:rPr>
        <w:t>Solenopsis Invicta</w:t>
      </w:r>
      <w:r>
        <w:rPr/>
        <w:t xml:space="preserve"> Buren on Biodiversity in South China: A Review.” </w:t>
      </w:r>
      <w:r>
        <w:rPr>
          <w:i/>
        </w:rPr>
        <w:t>Journal of Integrative Agriculture</w:t>
      </w:r>
      <w:r>
        <w:rPr/>
        <w:t xml:space="preserve"> 18 (4): 788–96. </w:t>
      </w:r>
      <w:hyperlink r:id="rId75">
        <w:r>
          <w:rPr>
            <w:rStyle w:val="InternetLink"/>
          </w:rPr>
          <w:t>https://doi.org/10.1016/s2095-3119(18)62014-3</w:t>
        </w:r>
      </w:hyperlink>
      <w:r>
        <w:rPr/>
        <w:t>.</w:t>
      </w:r>
      <w:bookmarkEnd w:id="92"/>
    </w:p>
    <w:p>
      <w:pPr>
        <w:pStyle w:val="Bibliography"/>
        <w:rPr/>
      </w:pPr>
      <w:bookmarkStart w:id="93" w:name="ref-Ward2006"/>
      <w:r>
        <w:rPr/>
        <w:t xml:space="preserve">Ward, Darren F. 2006. “Modelling the Potential Geographic Distribution of Invasive Ant Species in New Zealand.” </w:t>
      </w:r>
      <w:r>
        <w:rPr>
          <w:i/>
        </w:rPr>
        <w:t>Biological Invasions</w:t>
      </w:r>
      <w:r>
        <w:rPr/>
        <w:t xml:space="preserve"> 9 (6): 723–35. </w:t>
      </w:r>
      <w:hyperlink r:id="rId76">
        <w:r>
          <w:rPr>
            <w:rStyle w:val="InternetLink"/>
          </w:rPr>
          <w:t>https://doi.org/10.1007/s10530-006-9072-y</w:t>
        </w:r>
      </w:hyperlink>
      <w:r>
        <w:rPr/>
        <w:t>.</w:t>
      </w:r>
      <w:bookmarkEnd w:id="93"/>
    </w:p>
    <w:p>
      <w:pPr>
        <w:pStyle w:val="Bibliography"/>
        <w:rPr/>
      </w:pPr>
      <w:bookmarkStart w:id="94" w:name="ref-Wild2022"/>
      <w:r>
        <w:rPr/>
        <w:t xml:space="preserve">Wild, Alex. 2022. “University of Texas, Biodiversity Center, Entomology Collection (Utic).” </w:t>
      </w:r>
      <w:hyperlink r:id="rId77">
        <w:r>
          <w:rPr>
            <w:rStyle w:val="InternetLink"/>
          </w:rPr>
          <w:t>https://doi.org/10.15468/sanyq7</w:t>
        </w:r>
      </w:hyperlink>
      <w:r>
        <w:rPr/>
        <w:t>.</w:t>
      </w:r>
      <w:bookmarkEnd w:id="94"/>
    </w:p>
    <w:p>
      <w:pPr>
        <w:pStyle w:val="Bibliography"/>
        <w:rPr/>
      </w:pPr>
      <w:bookmarkStart w:id="95" w:name="ref-Wojcik1983"/>
      <w:r>
        <w:rPr/>
        <w:t xml:space="preserve">Wojcik, D. P. 1983. “Comparison of the Ecology of Red Imported Fire Ants in North and South America.” </w:t>
      </w:r>
      <w:r>
        <w:rPr>
          <w:i/>
        </w:rPr>
        <w:t>The Florida Entomologist</w:t>
      </w:r>
      <w:r>
        <w:rPr/>
        <w:t xml:space="preserve"> 66 (1): 101–11.</w:t>
      </w:r>
      <w:bookmarkEnd w:id="95"/>
    </w:p>
    <w:p>
      <w:pPr>
        <w:pStyle w:val="Bibliography"/>
        <w:rPr/>
      </w:pPr>
      <w:bookmarkStart w:id="96" w:name="ref-Zhuang2022"/>
      <w:r>
        <w:rPr/>
        <w:t xml:space="preserve">Zhuang, Vicky. 2022. “UTEP Insects (Arctos).” </w:t>
      </w:r>
      <w:hyperlink r:id="rId78">
        <w:r>
          <w:rPr>
            <w:rStyle w:val="InternetLink"/>
          </w:rPr>
          <w:t>https://doi.org/10.15468/cfddho</w:t>
        </w:r>
      </w:hyperlink>
      <w:r>
        <w:rPr/>
        <w:t>.</w:t>
      </w:r>
      <w:bookmarkEnd w:id="96"/>
    </w:p>
    <w:p>
      <w:pPr>
        <w:pStyle w:val="Bibliography"/>
        <w:rPr/>
      </w:pPr>
      <w:bookmarkStart w:id="97" w:name="ref-Zurell2020"/>
      <w:r>
        <w:rPr/>
        <w:t xml:space="preserve">Zurell, Damaris. 2020. </w:t>
      </w:r>
      <w:r>
        <w:rPr>
          <w:i/>
        </w:rPr>
        <w:t>Mecofun: Useful Functions for Macroecology and Species Distribution Modelling.</w:t>
      </w:r>
      <w:r>
        <w:rPr/>
        <w:t xml:space="preserve"> Maulbeerallee 3, 14469 D-Potsdam, Germany: Ecology &amp; Macroecology lab, University of Potsdam. </w:t>
      </w:r>
      <w:hyperlink r:id="rId79">
        <w:r>
          <w:rPr>
            <w:rStyle w:val="InternetLink"/>
          </w:rPr>
          <w:t>https://gitup.uni-potsdam.de/macroecology/mecofun</w:t>
        </w:r>
      </w:hyperlink>
      <w:r>
        <w:rPr/>
        <w:t>.</w:t>
      </w:r>
      <w:bookmarkEnd w:id="97"/>
    </w:p>
    <w:p>
      <w:pPr>
        <w:pStyle w:val="Bibliography"/>
        <w:spacing w:before="0" w:after="200"/>
        <w:rPr/>
      </w:pPr>
      <w:bookmarkStart w:id="98" w:name="ref-Zurell2018"/>
      <w:r>
        <w:rPr/>
        <w:t xml:space="preserve">Zurell, Damaris, Laure Gallien, Catherine H. Graham, and Niklaus E. Zimmermann. 2018. “Do Long-Distance Migratory Birds Track Their Niche Through Seasons?” </w:t>
      </w:r>
      <w:r>
        <w:rPr>
          <w:i/>
        </w:rPr>
        <w:t>Journal of Biogeography</w:t>
      </w:r>
      <w:r>
        <w:rPr/>
        <w:t xml:space="preserve"> 45 (7): 1459–68. </w:t>
      </w:r>
      <w:hyperlink r:id="rId80">
        <w:r>
          <w:rPr>
            <w:rStyle w:val="InternetLink"/>
          </w:rPr>
          <w:t>https://doi.org/10.1111/jbi.13351</w:t>
        </w:r>
      </w:hyperlink>
      <w:r>
        <w:rPr/>
        <w:t>.</w:t>
      </w:r>
      <w:bookmarkEnd w:id="16"/>
      <w:bookmarkEnd w:id="98"/>
    </w:p>
    <w:sectPr>
      <w:footerReference w:type="default" r:id="rId81"/>
      <w:footnotePr>
        <w:numFmt w:val="decimal"/>
      </w:footnotePr>
      <w:type w:val="nextPage"/>
      <w:pgSz w:w="12240" w:h="15840"/>
      <w:pgMar w:left="1440" w:right="1440" w:gutter="0" w:header="0" w:top="1440" w:footer="1440" w:bottom="2199"/>
      <w:lnNumType w:countBy="1" w:restart="continuous" w:distance="288"/>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mbria">
    <w:charset w:val="01"/>
    <w:family w:val="roman"/>
    <w:pitch w:val="variable"/>
  </w:font>
  <w:font w:name="Times New Roman">
    <w:charset w:val="01"/>
    <w:family w:val="roman"/>
    <w:pitch w:val="variable"/>
  </w:font>
  <w:font w:name="Calibri">
    <w:charset w:val="01"/>
    <w:family w:val="roman"/>
    <w:pitch w:val="variable"/>
  </w:font>
  <w:font w:name="Consolas">
    <w:charset w:val="01"/>
    <w:family w:val="roman"/>
    <w:pitch w:val="variable"/>
  </w:font>
  <w:font w:name="Liberation Sans">
    <w:altName w:val="Arial"/>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200"/>
      <w:jc w:val="center"/>
      <w:rPr/>
    </w:pPr>
    <w:r>
      <w:rPr/>
      <w:fldChar w:fldCharType="begin"/>
    </w:r>
    <w:r>
      <w:rPr/>
      <w:instrText xml:space="preserve"> PAGE </w:instrText>
    </w:r>
    <w:r>
      <w:rPr/>
      <w:fldChar w:fldCharType="separate"/>
    </w:r>
    <w:r>
      <w:rPr/>
      <w:t>33</w:t>
    </w:r>
    <w:r>
      <w:rPr/>
      <w:fldChar w:fldCharType="end"/>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Footnote"/>
        <w:spacing w:before="0" w:after="200"/>
        <w:rPr/>
      </w:pPr>
      <w:r>
        <w:rPr>
          <w:rStyle w:val="FootnoteCharacters"/>
        </w:rPr>
        <w:footnoteRef/>
      </w:r>
      <w:r>
        <w:rPr/>
        <w:t xml:space="preserve"> </w:t>
      </w:r>
      <w:r>
        <w:rPr/>
        <w:t xml:space="preserve">Department of Entomology, Virginia Tech Polytechnic Institute &amp; State University, Blacksburg, VA 24061, USA, </w:t>
      </w:r>
      <w:hyperlink r:id="rId1">
        <w:r>
          <w:rPr>
            <w:rStyle w:val="InternetLink"/>
          </w:rPr>
          <w:t>mfmalone@vt.edu</w:t>
        </w:r>
      </w:hyperlink>
    </w:p>
  </w:footnote>
  <w:footnote w:id="3">
    <w:p>
      <w:pPr>
        <w:pStyle w:val="Footnote"/>
        <w:spacing w:before="0" w:after="200"/>
        <w:rPr/>
      </w:pPr>
      <w:r>
        <w:rPr>
          <w:rStyle w:val="FootnoteCharacters"/>
        </w:rPr>
        <w:footnoteRef/>
      </w:r>
      <w:r>
        <w:rPr/>
        <w:t xml:space="preserve"> </w:t>
      </w:r>
      <w:r>
        <w:rPr/>
        <w:t>Department of Recent Invertebrates, Virginia Museum of Natural History, Martinsville, VA 24112, USA</w:t>
      </w:r>
    </w:p>
  </w:footnote>
  <w:footnote w:id="4">
    <w:p>
      <w:pPr>
        <w:pStyle w:val="Footnote"/>
        <w:spacing w:before="0" w:after="200"/>
        <w:rPr/>
      </w:pPr>
      <w:r>
        <w:rPr>
          <w:rStyle w:val="FootnoteCharacters"/>
        </w:rPr>
        <w:footnoteRef/>
      </w:r>
      <w:r>
        <w:rPr/>
        <w:t xml:space="preserve"> </w:t>
      </w:r>
      <w:r>
        <w:rPr/>
        <w:t>Virginia Tech, Tidewater Agricultural Research and Extension Center, Suffolk, VA, USA</w:t>
      </w:r>
    </w:p>
  </w:footnote>
  <w:footnote w:id="5">
    <w:p>
      <w:pPr>
        <w:pStyle w:val="Footnote"/>
        <w:spacing w:before="0" w:after="200"/>
        <w:rPr/>
      </w:pPr>
      <w:r>
        <w:rPr>
          <w:rStyle w:val="FootnoteCharacters"/>
        </w:rPr>
        <w:footnoteRef/>
      </w:r>
      <w:r>
        <w:rPr/>
        <w:t xml:space="preserve"> </w:t>
      </w:r>
      <w:r>
        <w:rPr>
          <w:b/>
        </w:rPr>
        <w:t>Corresponding Author</w:t>
      </w:r>
      <w:r>
        <w:rPr/>
        <w:t xml:space="preserve">, Department of Entomology, Virginia Tech Polytechnic Institute &amp; State University, Blacksburg, VA 24061, USA, </w:t>
      </w:r>
      <w:hyperlink r:id="rId2">
        <w:r>
          <w:rPr>
            <w:rStyle w:val="InternetLink"/>
          </w:rPr>
          <w:t>rschurch@vt.edu</w:t>
        </w:r>
      </w:hyperlink>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Heading1"/>
      <w:numFmt w:val="none"/>
      <w:suff w:val="nothing"/>
      <w:lvlText w:val="%1"/>
      <w:lvlJc w:val="left"/>
      <w:pPr>
        <w:tabs>
          <w:tab w:val="num" w:pos="0"/>
        </w:tabs>
        <w:ind w:left="0" w:hanging="0"/>
      </w:pPr>
      <w:rPr/>
    </w:lvl>
    <w:lvl w:ilvl="1">
      <w:start w:val="1"/>
      <w:pStyle w:val="Heading2"/>
      <w:numFmt w:val="none"/>
      <w:suff w:val="nothing"/>
      <w:lvlText w:val="%1.%2"/>
      <w:lvlJc w:val="left"/>
      <w:pPr>
        <w:tabs>
          <w:tab w:val="num" w:pos="0"/>
        </w:tabs>
        <w:ind w:left="0" w:hanging="0"/>
      </w:pPr>
      <w:rPr/>
    </w:lvl>
    <w:lvl w:ilvl="2">
      <w:start w:val="1"/>
      <w:pStyle w:val="Heading3"/>
      <w:numFmt w:val="none"/>
      <w:suff w:val="nothing"/>
      <w:lvlText w:val="%1.%2.%3"/>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num w:numId="1">
    <w:abstractNumId w:val="1"/>
  </w:num>
</w:numbering>
</file>

<file path=word/settings.xml><?xml version="1.0" encoding="utf-8"?>
<w:settings xmlns:w="http://schemas.openxmlformats.org/wordprocessingml/2006/main">
  <w:zoom w:percent="80"/>
  <w:embedSystemFonts/>
  <w:defaultTabStop w:val="643"/>
  <w:autoHyphenation w:val="true"/>
  <w:footnotePr>
    <w:numFmt w:val="decimal"/>
    <w:footnote w:id="0"/>
    <w:footnote w:id="1"/>
  </w:footnotePr>
  <w:compat>
    <w:compatSetting w:name="compatibilityMode" w:uri="http://schemas.microsoft.com/office/word" w:val="12"/>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mbria" w:hAnsi="Cambria" w:eastAsia="Cambria" w:cs="" w:asciiTheme="minorHAnsi" w:cstheme="minorBidi" w:eastAsiaTheme="minorHAnsi" w:hAnsiTheme="minorHAnsi"/>
        <w:sz w:val="24"/>
        <w:szCs w:val="24"/>
        <w:lang w:val="en-US" w:eastAsia="en-US" w:bidi="ar-SA"/>
      </w:rPr>
    </w:rPrDefault>
    <w:pPrDefault>
      <w:pPr>
        <w:suppressAutoHyphens w:val="true"/>
      </w:pPr>
    </w:pPrDefault>
  </w:docDefaults>
  <w:latentStyles w:defLockedState="0" w:defUIPriority="0" w:defSemiHidden="0" w:defUnhideWhenUsed="0" w:defQFormat="0" w:count="276"/>
  <w:style w:type="paragraph" w:styleId="Normal" w:default="1">
    <w:name w:val="Normal"/>
    <w:qFormat/>
    <w:pPr>
      <w:widowControl/>
      <w:suppressAutoHyphens w:val="true"/>
      <w:bidi w:val="0"/>
      <w:spacing w:before="0" w:after="200"/>
      <w:jc w:val="left"/>
    </w:pPr>
    <w:rPr>
      <w:rFonts w:ascii="Times New Roman" w:hAnsi="Times New Roman" w:eastAsia="Cambria" w:cs="" w:cstheme="minorBidi" w:eastAsiaTheme="minorHAnsi"/>
      <w:color w:val="auto"/>
      <w:kern w:val="0"/>
      <w:sz w:val="24"/>
      <w:szCs w:val="24"/>
      <w:lang w:val="en-US" w:eastAsia="en-US" w:bidi="ar-SA"/>
    </w:rPr>
  </w:style>
  <w:style w:type="paragraph" w:styleId="Heading1">
    <w:name w:val="Heading 1"/>
    <w:basedOn w:val="Normal"/>
    <w:next w:val="TextBody"/>
    <w:uiPriority w:val="9"/>
    <w:qFormat/>
    <w:pPr>
      <w:keepNext w:val="true"/>
      <w:keepLines/>
      <w:numPr>
        <w:ilvl w:val="0"/>
        <w:numId w:val="1"/>
      </w:numPr>
      <w:spacing w:before="480" w:after="0"/>
      <w:outlineLvl w:val="0"/>
    </w:pPr>
    <w:rPr>
      <w:rFonts w:ascii="Times New Roman" w:hAnsi="Times New Roman" w:eastAsia="" w:cs="" w:cstheme="majorBidi" w:eastAsiaTheme="majorEastAsia"/>
      <w:b/>
      <w:bCs/>
      <w:caps/>
      <w:color w:val="000000" w:themeShade="b5"/>
      <w:sz w:val="32"/>
      <w:szCs w:val="32"/>
    </w:rPr>
  </w:style>
  <w:style w:type="paragraph" w:styleId="Heading2">
    <w:name w:val="Heading 2"/>
    <w:basedOn w:val="Normal"/>
    <w:next w:val="TextBody"/>
    <w:uiPriority w:val="9"/>
    <w:unhideWhenUsed/>
    <w:qFormat/>
    <w:pPr>
      <w:keepNext w:val="true"/>
      <w:keepLines/>
      <w:numPr>
        <w:ilvl w:val="1"/>
        <w:numId w:val="1"/>
      </w:numPr>
      <w:spacing w:before="200" w:after="0"/>
      <w:outlineLvl w:val="1"/>
    </w:pPr>
    <w:rPr>
      <w:rFonts w:ascii="Times New Roman" w:hAnsi="Times New Roman" w:eastAsia="" w:cs="" w:cstheme="majorBidi" w:eastAsiaTheme="majorEastAsia"/>
      <w:b/>
      <w:bCs/>
      <w:color w:val="000000"/>
      <w:sz w:val="28"/>
      <w:szCs w:val="32"/>
    </w:rPr>
  </w:style>
  <w:style w:type="paragraph" w:styleId="Heading3">
    <w:name w:val="Heading 3"/>
    <w:basedOn w:val="Normal"/>
    <w:next w:val="TextBody"/>
    <w:uiPriority w:val="9"/>
    <w:unhideWhenUsed/>
    <w:qFormat/>
    <w:pPr>
      <w:keepNext w:val="true"/>
      <w:keepLines/>
      <w:numPr>
        <w:ilvl w:val="2"/>
        <w:numId w:val="1"/>
      </w:numPr>
      <w:spacing w:before="200" w:after="0"/>
      <w:outlineLvl w:val="2"/>
    </w:pPr>
    <w:rPr>
      <w:rFonts w:ascii="Times New Roman" w:hAnsi="Times New Roman" w:eastAsia="" w:cs="" w:cstheme="majorBidi" w:eastAsiaTheme="majorEastAsia"/>
      <w:b w:val="false"/>
      <w:bCs/>
      <w:i/>
      <w:color w:val="000000"/>
      <w:sz w:val="24"/>
      <w:szCs w:val="28"/>
    </w:rPr>
  </w:style>
  <w:style w:type="paragraph" w:styleId="Heading4">
    <w:name w:val="Heading 4"/>
    <w:basedOn w:val="Normal"/>
    <w:next w:val="TextBody"/>
    <w:uiPriority w:val="9"/>
    <w:unhideWhenUsed/>
    <w:qFormat/>
    <w:pPr>
      <w:keepNext w:val="true"/>
      <w:keepLines/>
      <w:spacing w:before="200" w:after="0"/>
      <w:outlineLvl w:val="3"/>
    </w:pPr>
    <w:rPr>
      <w:rFonts w:ascii="Calibri" w:hAnsi="Calibri" w:eastAsia="" w:cs="" w:asciiTheme="majorHAnsi" w:cstheme="majorBidi" w:eastAsiaTheme="majorEastAsia" w:hAnsiTheme="majorHAnsi"/>
      <w:b/>
      <w:bCs/>
      <w:color w:val="4F81BD" w:themeColor="accent1"/>
      <w:sz w:val="24"/>
      <w:szCs w:val="24"/>
    </w:rPr>
  </w:style>
  <w:style w:type="paragraph" w:styleId="Heading5">
    <w:name w:val="Heading 5"/>
    <w:basedOn w:val="Normal"/>
    <w:next w:val="TextBody"/>
    <w:uiPriority w:val="9"/>
    <w:unhideWhenUsed/>
    <w:qFormat/>
    <w:pPr>
      <w:keepNext w:val="true"/>
      <w:keepLines/>
      <w:spacing w:before="200" w:after="0"/>
      <w:outlineLvl w:val="4"/>
    </w:pPr>
    <w:rPr>
      <w:rFonts w:ascii="Calibri" w:hAnsi="Calibri" w:eastAsia="" w:cs="" w:asciiTheme="majorHAnsi" w:cstheme="majorBidi" w:eastAsiaTheme="majorEastAsia" w:hAnsiTheme="majorHAnsi"/>
      <w:i/>
      <w:iCs/>
      <w:color w:val="4F81BD" w:themeColor="accent1"/>
      <w:sz w:val="24"/>
      <w:szCs w:val="24"/>
    </w:rPr>
  </w:style>
  <w:style w:type="paragraph" w:styleId="Heading6">
    <w:name w:val="Heading 6"/>
    <w:basedOn w:val="Normal"/>
    <w:next w:val="TextBody"/>
    <w:uiPriority w:val="9"/>
    <w:unhideWhenUsed/>
    <w:qFormat/>
    <w:pPr>
      <w:keepNext w:val="true"/>
      <w:keepLines/>
      <w:spacing w:before="200" w:after="0"/>
      <w:outlineLvl w:val="5"/>
    </w:pPr>
    <w:rPr>
      <w:rFonts w:ascii="Calibri" w:hAnsi="Calibri" w:eastAsia="" w:cs="" w:asciiTheme="majorHAnsi" w:cstheme="majorBidi" w:eastAsiaTheme="majorEastAsia" w:hAnsiTheme="majorHAnsi"/>
      <w:color w:val="4F81BD" w:themeColor="accent1"/>
      <w:sz w:val="24"/>
      <w:szCs w:val="24"/>
    </w:rPr>
  </w:style>
  <w:style w:type="paragraph" w:styleId="Heading7">
    <w:name w:val="Heading 7"/>
    <w:basedOn w:val="Normal"/>
    <w:next w:val="TextBody"/>
    <w:uiPriority w:val="9"/>
    <w:unhideWhenUsed/>
    <w:qFormat/>
    <w:pPr>
      <w:keepNext w:val="true"/>
      <w:keepLines/>
      <w:spacing w:before="200" w:after="0"/>
      <w:outlineLvl w:val="6"/>
    </w:pPr>
    <w:rPr>
      <w:rFonts w:ascii="Calibri" w:hAnsi="Calibri" w:eastAsia="" w:cs="" w:asciiTheme="majorHAnsi" w:cstheme="majorBidi" w:eastAsiaTheme="majorEastAsia" w:hAnsiTheme="majorHAnsi"/>
      <w:color w:val="4F81BD" w:themeColor="accent1"/>
      <w:sz w:val="24"/>
      <w:szCs w:val="24"/>
    </w:rPr>
  </w:style>
  <w:style w:type="paragraph" w:styleId="Heading8">
    <w:name w:val="Heading 8"/>
    <w:basedOn w:val="Normal"/>
    <w:next w:val="TextBody"/>
    <w:uiPriority w:val="9"/>
    <w:unhideWhenUsed/>
    <w:qFormat/>
    <w:pPr>
      <w:keepNext w:val="true"/>
      <w:keepLines/>
      <w:spacing w:before="200" w:after="0"/>
      <w:outlineLvl w:val="7"/>
    </w:pPr>
    <w:rPr>
      <w:rFonts w:ascii="Calibri" w:hAnsi="Calibri" w:eastAsia="" w:cs="" w:asciiTheme="majorHAnsi" w:cstheme="majorBidi" w:eastAsiaTheme="majorEastAsia" w:hAnsiTheme="majorHAnsi"/>
      <w:color w:val="4F81BD" w:themeColor="accent1"/>
      <w:sz w:val="24"/>
      <w:szCs w:val="24"/>
    </w:rPr>
  </w:style>
  <w:style w:type="paragraph" w:styleId="Heading9">
    <w:name w:val="Heading 9"/>
    <w:basedOn w:val="Normal"/>
    <w:next w:val="TextBody"/>
    <w:uiPriority w:val="9"/>
    <w:unhideWhenUsed/>
    <w:qFormat/>
    <w:pPr>
      <w:keepNext w:val="true"/>
      <w:keepLines/>
      <w:spacing w:before="200" w:after="0"/>
      <w:outlineLvl w:val="8"/>
    </w:pPr>
    <w:rPr>
      <w:rFonts w:ascii="Calibri" w:hAnsi="Calibri" w:eastAsia="" w:cs="" w:asciiTheme="majorHAnsi" w:cstheme="majorBidi" w:eastAsiaTheme="majorEastAsia" w:hAnsiTheme="majorHAnsi"/>
      <w:color w:val="4F81BD" w:themeColor="accent1"/>
      <w:sz w:val="24"/>
      <w:szCs w:val="24"/>
    </w:rPr>
  </w:style>
  <w:style w:type="character" w:styleId="DefaultParagraphFont" w:default="1">
    <w:name w:val="Default Paragraph Font"/>
    <w:semiHidden/>
    <w:unhideWhenUsed/>
    <w:qFormat/>
    <w:rPr/>
  </w:style>
  <w:style w:type="character" w:styleId="BodyTextChar" w:customStyle="1">
    <w:name w:val="Body Text Char"/>
    <w:basedOn w:val="DefaultParagraphFont"/>
    <w:qFormat/>
    <w:rPr/>
  </w:style>
  <w:style w:type="character" w:styleId="VerbatimChar" w:customStyle="1">
    <w:name w:val="Verbatim Char"/>
    <w:basedOn w:val="BodyTextChar"/>
    <w:qFormat/>
    <w:rPr>
      <w:rFonts w:ascii="Consolas" w:hAnsi="Consolas"/>
      <w:sz w:val="22"/>
    </w:rPr>
  </w:style>
  <w:style w:type="character" w:styleId="FootnoteCharacters">
    <w:name w:val="Footnote Characters"/>
    <w:qFormat/>
    <w:rPr>
      <w:vertAlign w:val="superscript"/>
    </w:rPr>
  </w:style>
  <w:style w:type="character" w:styleId="FootnoteAnchor">
    <w:name w:val="Footnote Reference"/>
    <w:rPr>
      <w:vertAlign w:val="superscript"/>
    </w:rPr>
  </w:style>
  <w:style w:type="character" w:styleId="InternetLink">
    <w:name w:val="Hyperlink"/>
    <w:basedOn w:val="BodyTextChar"/>
    <w:rPr>
      <w:color w:val="4F81BD" w:themeColor="accent1"/>
    </w:rPr>
  </w:style>
  <w:style w:type="character" w:styleId="KeywordTok" w:customStyle="1">
    <w:name w:val="KeywordTok"/>
    <w:basedOn w:val="VerbatimChar"/>
    <w:qFormat/>
    <w:rPr>
      <w:b/>
      <w:color w:val="204A87"/>
      <w:shd w:fill="F8F8F8" w:val="clear"/>
    </w:rPr>
  </w:style>
  <w:style w:type="character" w:styleId="DataTypeTok" w:customStyle="1">
    <w:name w:val="DataTypeTok"/>
    <w:basedOn w:val="VerbatimChar"/>
    <w:qFormat/>
    <w:rPr>
      <w:color w:val="204A87"/>
      <w:shd w:fill="F8F8F8" w:val="clear"/>
    </w:rPr>
  </w:style>
  <w:style w:type="character" w:styleId="DecValTok" w:customStyle="1">
    <w:name w:val="DecValTok"/>
    <w:basedOn w:val="VerbatimChar"/>
    <w:qFormat/>
    <w:rPr>
      <w:color w:val="0000CF"/>
      <w:shd w:fill="F8F8F8" w:val="clear"/>
    </w:rPr>
  </w:style>
  <w:style w:type="character" w:styleId="BaseNTok" w:customStyle="1">
    <w:name w:val="BaseNTok"/>
    <w:basedOn w:val="VerbatimChar"/>
    <w:qFormat/>
    <w:rPr>
      <w:color w:val="0000CF"/>
      <w:shd w:fill="F8F8F8" w:val="clear"/>
    </w:rPr>
  </w:style>
  <w:style w:type="character" w:styleId="FloatTok" w:customStyle="1">
    <w:name w:val="FloatTok"/>
    <w:basedOn w:val="VerbatimChar"/>
    <w:qFormat/>
    <w:rPr>
      <w:color w:val="0000CF"/>
      <w:shd w:fill="F8F8F8" w:val="clear"/>
    </w:rPr>
  </w:style>
  <w:style w:type="character" w:styleId="ConstantTok" w:customStyle="1">
    <w:name w:val="ConstantTok"/>
    <w:basedOn w:val="VerbatimChar"/>
    <w:qFormat/>
    <w:rPr>
      <w:color w:val="000000"/>
      <w:shd w:fill="F8F8F8" w:val="clear"/>
    </w:rPr>
  </w:style>
  <w:style w:type="character" w:styleId="CharTok" w:customStyle="1">
    <w:name w:val="CharTok"/>
    <w:basedOn w:val="VerbatimChar"/>
    <w:qFormat/>
    <w:rPr>
      <w:color w:val="4E9A06"/>
      <w:shd w:fill="F8F8F8" w:val="clear"/>
    </w:rPr>
  </w:style>
  <w:style w:type="character" w:styleId="SpecialCharTok" w:customStyle="1">
    <w:name w:val="SpecialCharTok"/>
    <w:basedOn w:val="VerbatimChar"/>
    <w:qFormat/>
    <w:rPr>
      <w:color w:val="000000"/>
      <w:shd w:fill="F8F8F8" w:val="clear"/>
    </w:rPr>
  </w:style>
  <w:style w:type="character" w:styleId="StringTok" w:customStyle="1">
    <w:name w:val="StringTok"/>
    <w:basedOn w:val="VerbatimChar"/>
    <w:qFormat/>
    <w:rPr>
      <w:color w:val="4E9A06"/>
      <w:shd w:fill="F8F8F8" w:val="clear"/>
    </w:rPr>
  </w:style>
  <w:style w:type="character" w:styleId="VerbatimStringTok" w:customStyle="1">
    <w:name w:val="VerbatimStringTok"/>
    <w:basedOn w:val="VerbatimChar"/>
    <w:qFormat/>
    <w:rPr>
      <w:color w:val="4E9A06"/>
      <w:shd w:fill="F8F8F8" w:val="clear"/>
    </w:rPr>
  </w:style>
  <w:style w:type="character" w:styleId="SpecialStringTok" w:customStyle="1">
    <w:name w:val="SpecialStringTok"/>
    <w:basedOn w:val="VerbatimChar"/>
    <w:qFormat/>
    <w:rPr>
      <w:color w:val="4E9A06"/>
      <w:shd w:fill="F8F8F8" w:val="clear"/>
    </w:rPr>
  </w:style>
  <w:style w:type="character" w:styleId="ImportTok" w:customStyle="1">
    <w:name w:val="ImportTok"/>
    <w:basedOn w:val="VerbatimChar"/>
    <w:qFormat/>
    <w:rPr>
      <w:shd w:fill="F8F8F8" w:val="clear"/>
    </w:rPr>
  </w:style>
  <w:style w:type="character" w:styleId="CommentTok" w:customStyle="1">
    <w:name w:val="CommentTok"/>
    <w:basedOn w:val="VerbatimChar"/>
    <w:qFormat/>
    <w:rPr>
      <w:i/>
      <w:color w:val="8F5902"/>
      <w:shd w:fill="F8F8F8" w:val="clear"/>
    </w:rPr>
  </w:style>
  <w:style w:type="character" w:styleId="DocumentationTok" w:customStyle="1">
    <w:name w:val="DocumentationTok"/>
    <w:basedOn w:val="VerbatimChar"/>
    <w:qFormat/>
    <w:rPr>
      <w:b/>
      <w:i/>
      <w:color w:val="8F5902"/>
      <w:shd w:fill="F8F8F8" w:val="clear"/>
    </w:rPr>
  </w:style>
  <w:style w:type="character" w:styleId="AnnotationTok" w:customStyle="1">
    <w:name w:val="AnnotationTok"/>
    <w:basedOn w:val="VerbatimChar"/>
    <w:qFormat/>
    <w:rPr>
      <w:b/>
      <w:i/>
      <w:color w:val="8F5902"/>
      <w:shd w:fill="F8F8F8" w:val="clear"/>
    </w:rPr>
  </w:style>
  <w:style w:type="character" w:styleId="CommentVarTok" w:customStyle="1">
    <w:name w:val="CommentVarTok"/>
    <w:basedOn w:val="VerbatimChar"/>
    <w:qFormat/>
    <w:rPr>
      <w:b/>
      <w:i/>
      <w:color w:val="8F5902"/>
      <w:shd w:fill="F8F8F8" w:val="clear"/>
    </w:rPr>
  </w:style>
  <w:style w:type="character" w:styleId="OtherTok" w:customStyle="1">
    <w:name w:val="OtherTok"/>
    <w:basedOn w:val="VerbatimChar"/>
    <w:qFormat/>
    <w:rPr>
      <w:color w:val="8F5902"/>
      <w:shd w:fill="F8F8F8" w:val="clear"/>
    </w:rPr>
  </w:style>
  <w:style w:type="character" w:styleId="FunctionTok" w:customStyle="1">
    <w:name w:val="FunctionTok"/>
    <w:basedOn w:val="VerbatimChar"/>
    <w:qFormat/>
    <w:rPr>
      <w:color w:val="000000"/>
      <w:shd w:fill="F8F8F8" w:val="clear"/>
    </w:rPr>
  </w:style>
  <w:style w:type="character" w:styleId="VariableTok" w:customStyle="1">
    <w:name w:val="VariableTok"/>
    <w:basedOn w:val="VerbatimChar"/>
    <w:qFormat/>
    <w:rPr>
      <w:color w:val="000000"/>
      <w:shd w:fill="F8F8F8" w:val="clear"/>
    </w:rPr>
  </w:style>
  <w:style w:type="character" w:styleId="ControlFlowTok" w:customStyle="1">
    <w:name w:val="ControlFlowTok"/>
    <w:basedOn w:val="VerbatimChar"/>
    <w:qFormat/>
    <w:rPr>
      <w:b/>
      <w:color w:val="204A87"/>
      <w:shd w:fill="F8F8F8" w:val="clear"/>
    </w:rPr>
  </w:style>
  <w:style w:type="character" w:styleId="OperatorTok" w:customStyle="1">
    <w:name w:val="OperatorTok"/>
    <w:basedOn w:val="VerbatimChar"/>
    <w:qFormat/>
    <w:rPr>
      <w:b/>
      <w:color w:val="CE5C00"/>
      <w:shd w:fill="F8F8F8" w:val="clear"/>
    </w:rPr>
  </w:style>
  <w:style w:type="character" w:styleId="BuiltInTok" w:customStyle="1">
    <w:name w:val="BuiltInTok"/>
    <w:basedOn w:val="VerbatimChar"/>
    <w:qFormat/>
    <w:rPr>
      <w:shd w:fill="F8F8F8" w:val="clear"/>
    </w:rPr>
  </w:style>
  <w:style w:type="character" w:styleId="ExtensionTok" w:customStyle="1">
    <w:name w:val="ExtensionTok"/>
    <w:basedOn w:val="VerbatimChar"/>
    <w:qFormat/>
    <w:rPr>
      <w:shd w:fill="F8F8F8" w:val="clear"/>
    </w:rPr>
  </w:style>
  <w:style w:type="character" w:styleId="PreprocessorTok" w:customStyle="1">
    <w:name w:val="PreprocessorTok"/>
    <w:basedOn w:val="VerbatimChar"/>
    <w:qFormat/>
    <w:rPr>
      <w:i/>
      <w:color w:val="8F5902"/>
      <w:shd w:fill="F8F8F8" w:val="clear"/>
    </w:rPr>
  </w:style>
  <w:style w:type="character" w:styleId="AttributeTok" w:customStyle="1">
    <w:name w:val="AttributeTok"/>
    <w:basedOn w:val="VerbatimChar"/>
    <w:qFormat/>
    <w:rPr>
      <w:color w:val="C4A000"/>
      <w:shd w:fill="F8F8F8" w:val="clear"/>
    </w:rPr>
  </w:style>
  <w:style w:type="character" w:styleId="RegionMarkerTok" w:customStyle="1">
    <w:name w:val="RegionMarkerTok"/>
    <w:basedOn w:val="VerbatimChar"/>
    <w:qFormat/>
    <w:rPr>
      <w:shd w:fill="F8F8F8" w:val="clear"/>
    </w:rPr>
  </w:style>
  <w:style w:type="character" w:styleId="InformationTok" w:customStyle="1">
    <w:name w:val="InformationTok"/>
    <w:basedOn w:val="VerbatimChar"/>
    <w:qFormat/>
    <w:rPr>
      <w:b/>
      <w:i/>
      <w:color w:val="8F5902"/>
      <w:shd w:fill="F8F8F8" w:val="clear"/>
    </w:rPr>
  </w:style>
  <w:style w:type="character" w:styleId="WarningTok" w:customStyle="1">
    <w:name w:val="WarningTok"/>
    <w:basedOn w:val="VerbatimChar"/>
    <w:qFormat/>
    <w:rPr>
      <w:b/>
      <w:i/>
      <w:color w:val="8F5902"/>
      <w:shd w:fill="F8F8F8" w:val="clear"/>
    </w:rPr>
  </w:style>
  <w:style w:type="character" w:styleId="AlertTok" w:customStyle="1">
    <w:name w:val="AlertTok"/>
    <w:basedOn w:val="VerbatimChar"/>
    <w:qFormat/>
    <w:rPr>
      <w:color w:val="EF2929"/>
      <w:shd w:fill="F8F8F8" w:val="clear"/>
    </w:rPr>
  </w:style>
  <w:style w:type="character" w:styleId="ErrorTok" w:customStyle="1">
    <w:name w:val="ErrorTok"/>
    <w:basedOn w:val="VerbatimChar"/>
    <w:qFormat/>
    <w:rPr>
      <w:b/>
      <w:color w:val="A40000"/>
      <w:shd w:fill="F8F8F8" w:val="clear"/>
    </w:rPr>
  </w:style>
  <w:style w:type="character" w:styleId="NormalTok" w:customStyle="1">
    <w:name w:val="NormalTok"/>
    <w:basedOn w:val="VerbatimChar"/>
    <w:qFormat/>
    <w:rPr>
      <w:shd w:fill="F8F8F8" w:val="clear"/>
    </w:rPr>
  </w:style>
  <w:style w:type="character" w:styleId="LineNumbering">
    <w:name w:val="Line Number"/>
    <w:rPr>
      <w:rFonts w:ascii="Times New Roman" w:hAnsi="Times New Roman"/>
    </w:rPr>
  </w:style>
  <w:style w:type="character" w:styleId="EndnoteCharacters">
    <w:name w:val="Endnote Characters"/>
    <w:qFormat/>
    <w:rPr/>
  </w:style>
  <w:style w:type="character" w:styleId="EndnoteAnchor">
    <w:name w:val="Endnote Reference"/>
    <w:rPr>
      <w:vertAlign w:val="superscript"/>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link w:val="BodyTextChar"/>
    <w:qFormat/>
    <w:pPr>
      <w:suppressAutoHyphens w:val="false"/>
      <w:spacing w:lineRule="auto" w:line="480" w:before="180" w:after="180"/>
      <w:jc w:val="both"/>
    </w:pPr>
    <w:rPr>
      <w:rFonts w:ascii="Times New Roman" w:hAnsi="Times New Roman"/>
    </w:rPr>
  </w:style>
  <w:style w:type="paragraph" w:styleId="List">
    <w:name w:val="List"/>
    <w:basedOn w:val="TextBody"/>
    <w:pPr/>
    <w:rPr>
      <w:rFonts w:cs="Lohit Devanagari"/>
    </w:rPr>
  </w:style>
  <w:style w:type="paragraph" w:styleId="Caption">
    <w:name w:val="Caption"/>
    <w:basedOn w:val="Normal"/>
    <w:link w:val="BodyTextChar"/>
    <w:qFormat/>
    <w:pPr>
      <w:spacing w:before="0" w:after="120"/>
    </w:pPr>
    <w:rPr>
      <w:i/>
    </w:rPr>
  </w:style>
  <w:style w:type="paragraph" w:styleId="Index">
    <w:name w:val="Index"/>
    <w:basedOn w:val="Normal"/>
    <w:qFormat/>
    <w:pPr>
      <w:suppressLineNumbers/>
    </w:pPr>
    <w:rPr>
      <w:rFonts w:cs="Lohit Devanagari"/>
    </w:rPr>
  </w:style>
  <w:style w:type="paragraph" w:styleId="FirstParagraph" w:customStyle="1">
    <w:name w:val="First Paragraph"/>
    <w:basedOn w:val="TextBody"/>
    <w:next w:val="TextBody"/>
    <w:qFormat/>
    <w:pPr>
      <w:suppressAutoHyphens w:val="false"/>
      <w:spacing w:lineRule="auto" w:line="480"/>
      <w:jc w:val="both"/>
    </w:pPr>
    <w:rPr>
      <w:rFonts w:ascii="Times New Roman" w:hAnsi="Times New Roman"/>
    </w:rPr>
  </w:style>
  <w:style w:type="paragraph" w:styleId="Compact" w:customStyle="1">
    <w:name w:val="Compact"/>
    <w:basedOn w:val="TextBody"/>
    <w:qFormat/>
    <w:pPr>
      <w:spacing w:before="36" w:after="36"/>
    </w:pPr>
    <w:rPr/>
  </w:style>
  <w:style w:type="paragraph" w:styleId="Title">
    <w:name w:val="Title"/>
    <w:basedOn w:val="Normal"/>
    <w:next w:val="TextBody"/>
    <w:qFormat/>
    <w:pPr>
      <w:keepNext w:val="true"/>
      <w:keepLines/>
      <w:spacing w:before="480" w:after="240"/>
      <w:jc w:val="center"/>
    </w:pPr>
    <w:rPr>
      <w:rFonts w:ascii="Times New Roman" w:hAnsi="Times New Roman" w:eastAsia="" w:cs="" w:cstheme="majorBidi" w:eastAsiaTheme="majorEastAsia"/>
      <w:b/>
      <w:bCs/>
      <w:color w:val="000000" w:themeShade="b5"/>
      <w:sz w:val="36"/>
      <w:szCs w:val="36"/>
    </w:rPr>
  </w:style>
  <w:style w:type="paragraph" w:styleId="Subtitle">
    <w:name w:val="Subtitle"/>
    <w:basedOn w:val="Title"/>
    <w:next w:val="TextBody"/>
    <w:qFormat/>
    <w:pPr>
      <w:keepNext w:val="true"/>
      <w:keepLines/>
      <w:spacing w:before="240" w:after="240"/>
      <w:jc w:val="center"/>
    </w:pPr>
    <w:rPr>
      <w:sz w:val="30"/>
      <w:szCs w:val="30"/>
    </w:rPr>
  </w:style>
  <w:style w:type="paragraph" w:styleId="Author" w:customStyle="1">
    <w:name w:val="Author"/>
    <w:next w:val="TextBody"/>
    <w:qFormat/>
    <w:pPr>
      <w:keepNext w:val="true"/>
      <w:keepLines/>
      <w:widowControl/>
      <w:suppressAutoHyphens w:val="true"/>
      <w:bidi w:val="0"/>
      <w:spacing w:before="0" w:after="202"/>
      <w:contextualSpacing/>
      <w:jc w:val="center"/>
    </w:pPr>
    <w:rPr>
      <w:rFonts w:ascii="Times New Roman" w:hAnsi="Times New Roman" w:eastAsia="Cambria" w:cs="" w:cstheme="minorBidi" w:eastAsiaTheme="minorHAnsi"/>
      <w:color w:val="auto"/>
      <w:kern w:val="0"/>
      <w:sz w:val="24"/>
      <w:szCs w:val="24"/>
      <w:lang w:val="en-US" w:eastAsia="en-US" w:bidi="ar-SA"/>
    </w:rPr>
  </w:style>
  <w:style w:type="paragraph" w:styleId="Date">
    <w:name w:val="Date"/>
    <w:next w:val="TextBody"/>
    <w:qFormat/>
    <w:pPr>
      <w:keepNext w:val="true"/>
      <w:keepLines/>
      <w:widowControl/>
      <w:suppressAutoHyphens w:val="true"/>
      <w:bidi w:val="0"/>
      <w:spacing w:before="0" w:after="200"/>
      <w:jc w:val="center"/>
    </w:pPr>
    <w:rPr>
      <w:rFonts w:ascii="Cambria" w:hAnsi="Cambria" w:eastAsia="Cambria" w:cs="" w:asciiTheme="minorHAnsi" w:cstheme="minorBidi" w:eastAsiaTheme="minorHAnsi" w:hAnsiTheme="minorHAnsi"/>
      <w:color w:val="auto"/>
      <w:kern w:val="0"/>
      <w:sz w:val="24"/>
      <w:szCs w:val="24"/>
      <w:lang w:val="en-US" w:eastAsia="en-US" w:bidi="ar-SA"/>
    </w:rPr>
  </w:style>
  <w:style w:type="paragraph" w:styleId="Abstract" w:customStyle="1">
    <w:name w:val="Abstract"/>
    <w:basedOn w:val="Normal"/>
    <w:next w:val="TextBody"/>
    <w:qFormat/>
    <w:pPr>
      <w:keepNext w:val="true"/>
      <w:keepLines/>
      <w:suppressAutoHyphens w:val="false"/>
      <w:spacing w:lineRule="auto" w:line="480" w:before="300" w:after="300"/>
      <w:jc w:val="both"/>
    </w:pPr>
    <w:rPr>
      <w:rFonts w:ascii="Times New Roman" w:hAnsi="Times New Roman"/>
      <w:sz w:val="24"/>
      <w:szCs w:val="20"/>
    </w:rPr>
  </w:style>
  <w:style w:type="paragraph" w:styleId="Bibliography">
    <w:name w:val="Bibliography"/>
    <w:basedOn w:val="Normal"/>
    <w:qFormat/>
    <w:pPr>
      <w:suppressAutoHyphens w:val="false"/>
      <w:spacing w:lineRule="auto" w:line="480" w:before="187" w:after="187"/>
      <w:jc w:val="both"/>
    </w:pPr>
    <w:rPr>
      <w:rFonts w:ascii="Times New Roman" w:hAnsi="Times New Roman"/>
      <w:b w:val="false"/>
    </w:rPr>
  </w:style>
  <w:style w:type="paragraph" w:styleId="BlockText">
    <w:name w:val="Block Text"/>
    <w:basedOn w:val="TextBody"/>
    <w:next w:val="TextBody"/>
    <w:uiPriority w:val="9"/>
    <w:unhideWhenUsed/>
    <w:qFormat/>
    <w:pPr>
      <w:spacing w:before="100" w:after="100"/>
      <w:ind w:hanging="0"/>
    </w:pPr>
    <w:rPr>
      <w:rFonts w:ascii="Calibri" w:hAnsi="Calibri" w:eastAsia="" w:cs="" w:asciiTheme="majorHAnsi" w:cstheme="majorBidi" w:eastAsiaTheme="majorEastAsia" w:hAnsiTheme="majorHAnsi"/>
      <w:bCs/>
      <w:sz w:val="20"/>
      <w:szCs w:val="20"/>
    </w:rPr>
  </w:style>
  <w:style w:type="paragraph" w:styleId="Footnote">
    <w:name w:val="Footnote Text"/>
    <w:basedOn w:val="Normal"/>
    <w:uiPriority w:val="9"/>
    <w:unhideWhenUsed/>
    <w:qFormat/>
    <w:pPr/>
    <w:rPr>
      <w:sz w:val="20"/>
    </w:rPr>
  </w:style>
  <w:style w:type="paragraph" w:styleId="DefinitionTerm" w:customStyle="1">
    <w:name w:val="Definition Term"/>
    <w:basedOn w:val="Normal"/>
    <w:next w:val="Definition"/>
    <w:qFormat/>
    <w:pPr>
      <w:keepNext w:val="true"/>
      <w:keepLines/>
      <w:spacing w:before="0" w:after="0"/>
    </w:pPr>
    <w:rPr>
      <w:b/>
    </w:rPr>
  </w:style>
  <w:style w:type="paragraph" w:styleId="Definition" w:customStyle="1">
    <w:name w:val="Definition"/>
    <w:basedOn w:val="Normal"/>
    <w:qFormat/>
    <w:pPr/>
    <w:rPr/>
  </w:style>
  <w:style w:type="paragraph" w:styleId="TableCaption" w:customStyle="1">
    <w:name w:val="Table Caption"/>
    <w:basedOn w:val="Caption"/>
    <w:qFormat/>
    <w:pPr>
      <w:keepNext w:val="true"/>
      <w:spacing w:lineRule="auto" w:line="480"/>
    </w:pPr>
    <w:rPr/>
  </w:style>
  <w:style w:type="paragraph" w:styleId="ImageCaption" w:customStyle="1">
    <w:name w:val="Image Caption"/>
    <w:basedOn w:val="Caption"/>
    <w:qFormat/>
    <w:pPr>
      <w:spacing w:lineRule="auto" w:line="480" w:before="0" w:after="720"/>
    </w:pPr>
    <w:rPr/>
  </w:style>
  <w:style w:type="paragraph" w:styleId="Figure" w:customStyle="1">
    <w:name w:val="Figure"/>
    <w:basedOn w:val="Normal"/>
    <w:qFormat/>
    <w:pPr/>
    <w:rPr/>
  </w:style>
  <w:style w:type="paragraph" w:styleId="CaptionedFigure" w:customStyle="1">
    <w:name w:val="Captioned Figure"/>
    <w:basedOn w:val="Figure"/>
    <w:qFormat/>
    <w:pPr>
      <w:keepNext w:val="true"/>
    </w:pPr>
    <w:rPr/>
  </w:style>
  <w:style w:type="paragraph" w:styleId="IndexHeading">
    <w:name w:val="Index Heading"/>
    <w:basedOn w:val="Heading"/>
    <w:pPr/>
    <w:rPr/>
  </w:style>
  <w:style w:type="paragraph" w:styleId="ContentsHeading">
    <w:name w:val="TOC Heading"/>
    <w:basedOn w:val="Heading1"/>
    <w:next w:val="TextBody"/>
    <w:uiPriority w:val="39"/>
    <w:unhideWhenUsed/>
    <w:qFormat/>
    <w:pPr>
      <w:numPr>
        <w:ilvl w:val="0"/>
        <w:numId w:val="0"/>
      </w:numPr>
      <w:spacing w:lineRule="auto" w:line="259" w:before="240" w:after="0"/>
    </w:pPr>
    <w:rPr>
      <w:rFonts w:ascii="Calibri" w:hAnsi="Calibri" w:eastAsia="" w:cs="" w:asciiTheme="majorHAnsi" w:cstheme="majorBidi" w:eastAsiaTheme="majorEastAsia" w:hAnsiTheme="majorHAnsi"/>
      <w:b w:val="false"/>
      <w:bCs w:val="false"/>
      <w:color w:val="365F91" w:themeColor="accent1" w:themeShade="bf"/>
    </w:rPr>
  </w:style>
  <w:style w:type="paragraph" w:styleId="SourceCode" w:customStyle="1">
    <w:name w:val="Source Code"/>
    <w:basedOn w:val="Normal"/>
    <w:link w:val="VerbatimChar"/>
    <w:qFormat/>
    <w:pPr>
      <w:shd w:val="clear" w:fill="F8F8F8"/>
    </w:pPr>
    <w:rPr/>
  </w:style>
  <w:style w:type="paragraph" w:styleId="HeaderandFooter">
    <w:name w:val="Header and Footer"/>
    <w:basedOn w:val="Normal"/>
    <w:qFormat/>
    <w:pPr>
      <w:suppressLineNumbers/>
      <w:tabs>
        <w:tab w:val="clear" w:pos="643"/>
        <w:tab w:val="center" w:pos="4680" w:leader="none"/>
        <w:tab w:val="right" w:pos="9360" w:leader="none"/>
      </w:tabs>
    </w:pPr>
    <w:rPr/>
  </w:style>
  <w:style w:type="paragraph" w:styleId="Footer">
    <w:name w:val="Footer"/>
    <w:basedOn w:val="HeaderandFooter"/>
    <w:pPr>
      <w:suppressLineNumbers/>
    </w:pPr>
    <w:rPr/>
  </w:style>
  <w:style w:type="paragraph" w:styleId="Header">
    <w:name w:val="Header"/>
    <w:basedOn w:val="HeaderandFooter"/>
    <w:pPr>
      <w:suppressLineNumbers/>
    </w:pPr>
    <w:rPr/>
  </w:style>
  <w:style w:type="table" w:default="1" w:styleId="Table">
    <w:name w:val="Table"/>
    <w:basedOn w:val="TableNormal"/>
    <w:semiHidden/>
    <w:unhideWhenUsed/>
    <w:qFormat/>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s://www.gbif.org/" TargetMode="External"/><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hyperlink" Target="https://youtu.be/xVK47N7YBwI" TargetMode="External"/><Relationship Id="rId9" Type="http://schemas.openxmlformats.org/officeDocument/2006/relationships/hyperlink" Target="https://doi.org/10.1093/jee/76.5.1129" TargetMode="External"/><Relationship Id="rId10" Type="http://schemas.openxmlformats.org/officeDocument/2006/relationships/hyperlink" Target="https://doi.org/10.15468/0cfrpt" TargetMode="External"/><Relationship Id="rId11" Type="http://schemas.openxmlformats.org/officeDocument/2006/relationships/hyperlink" Target="https://doi.org/10.15468/mwyr3t" TargetMode="External"/><Relationship Id="rId12" Type="http://schemas.openxmlformats.org/officeDocument/2006/relationships/hyperlink" Target="https://doi.org/10.15468/hzkbpg" TargetMode="External"/><Relationship Id="rId13" Type="http://schemas.openxmlformats.org/officeDocument/2006/relationships/hyperlink" Target="https://doi.org/10.15468/vv6k58" TargetMode="External"/><Relationship Id="rId14" Type="http://schemas.openxmlformats.org/officeDocument/2006/relationships/hyperlink" Target="https://doi.org/10.15468/e7susi" TargetMode="External"/><Relationship Id="rId15" Type="http://schemas.openxmlformats.org/officeDocument/2006/relationships/hyperlink" Target="https://doi.org/10.15468/jgywgc" TargetMode="External"/><Relationship Id="rId16" Type="http://schemas.openxmlformats.org/officeDocument/2006/relationships/hyperlink" Target="https://doi.org/10.1007/s10531-014-0794-3" TargetMode="External"/><Relationship Id="rId17" Type="http://schemas.openxmlformats.org/officeDocument/2006/relationships/hyperlink" Target="https://doi.org/10.15468/njmmp7" TargetMode="External"/><Relationship Id="rId18" Type="http://schemas.openxmlformats.org/officeDocument/2006/relationships/hyperlink" Target="https://doi.org/10.2307/3495821" TargetMode="External"/><Relationship Id="rId19" Type="http://schemas.openxmlformats.org/officeDocument/2006/relationships/hyperlink" Target="https://doi.org/10.7287/peerj.preprints.3304v1" TargetMode="External"/><Relationship Id="rId20" Type="http://schemas.openxmlformats.org/officeDocument/2006/relationships/hyperlink" Target="https://doi.org/10.3390/su122310182" TargetMode="External"/><Relationship Id="rId21" Type="http://schemas.openxmlformats.org/officeDocument/2006/relationships/hyperlink" Target="https://entnemdept.ufl.edu/creatures/urban/ants/red_imported_fire_ant.htm" TargetMode="External"/><Relationship Id="rId22" Type="http://schemas.openxmlformats.org/officeDocument/2006/relationships/hyperlink" Target="https://doi.org/10.15468/eupzne" TargetMode="External"/><Relationship Id="rId23" Type="http://schemas.openxmlformats.org/officeDocument/2006/relationships/hyperlink" Target="https://www.esri.com/en-us/arcgis/products/arcgis-online/overview" TargetMode="External"/><Relationship Id="rId24" Type="http://schemas.openxmlformats.org/officeDocument/2006/relationships/hyperlink" Target="https://doi.org/10.15468/sbmztx" TargetMode="External"/><Relationship Id="rId25" Type="http://schemas.openxmlformats.org/officeDocument/2006/relationships/hyperlink" Target="https://doi.org/10.1002/joc.5086" TargetMode="External"/><Relationship Id="rId26" Type="http://schemas.openxmlformats.org/officeDocument/2006/relationships/hyperlink" Target="https://doi.org/10.15468/wqmjjt" TargetMode="External"/><Relationship Id="rId27" Type="http://schemas.openxmlformats.org/officeDocument/2006/relationships/hyperlink" Target="https://doi.org/10.15468/0ywfpc" TargetMode="External"/><Relationship Id="rId28" Type="http://schemas.openxmlformats.org/officeDocument/2006/relationships/hyperlink" Target="https://doi.org/10.1016/j.envsci.2007.03.007" TargetMode="External"/><Relationship Id="rId29" Type="http://schemas.openxmlformats.org/officeDocument/2006/relationships/hyperlink" Target="https://doi.org/10.15468/5vu4jc" TargetMode="External"/><Relationship Id="rId30" Type="http://schemas.openxmlformats.org/officeDocument/2006/relationships/hyperlink" Target="https://doi.org/10.1186/s40462-021-00240-2" TargetMode="External"/><Relationship Id="rId31" Type="http://schemas.openxmlformats.org/officeDocument/2006/relationships/hyperlink" Target="https://doi.org/10.15468/cade8j" TargetMode="External"/><Relationship Id="rId32" Type="http://schemas.openxmlformats.org/officeDocument/2006/relationships/hyperlink" Target="https://doi.org/10.15468/ab3s5x" TargetMode="External"/><Relationship Id="rId33" Type="http://schemas.openxmlformats.org/officeDocument/2006/relationships/hyperlink" Target="https://doi.org/10.1603/0046-225X-31.1.127" TargetMode="External"/><Relationship Id="rId34" Type="http://schemas.openxmlformats.org/officeDocument/2006/relationships/hyperlink" Target="https://doi.org/10.15468/bmfgag" TargetMode="External"/><Relationship Id="rId35" Type="http://schemas.openxmlformats.org/officeDocument/2006/relationships/hyperlink" Target="https://doi.org/10.1067/mai.2000.105707" TargetMode="External"/><Relationship Id="rId36" Type="http://schemas.openxmlformats.org/officeDocument/2006/relationships/hyperlink" Target="https://doi.org/10.1016/0304-3800(94)00029-H" TargetMode="External"/><Relationship Id="rId37" Type="http://schemas.openxmlformats.org/officeDocument/2006/relationships/hyperlink" Target="https://doi.org/10.15468/799jax" TargetMode="External"/><Relationship Id="rId38" Type="http://schemas.openxmlformats.org/officeDocument/2006/relationships/hyperlink" Target="https://doi.org/10.1073/pnas.0809423105" TargetMode="External"/><Relationship Id="rId39" Type="http://schemas.openxmlformats.org/officeDocument/2006/relationships/hyperlink" Target="https://doi.org/10.1603/0046-225X-30.4.645" TargetMode="External"/><Relationship Id="rId40" Type="http://schemas.openxmlformats.org/officeDocument/2006/relationships/hyperlink" Target="https://doi.org/10.1002/ece3.3996" TargetMode="External"/><Relationship Id="rId41" Type="http://schemas.openxmlformats.org/officeDocument/2006/relationships/hyperlink" Target="https://doi.org/10.1890/08-0355.1" TargetMode="External"/><Relationship Id="rId42" Type="http://schemas.openxmlformats.org/officeDocument/2006/relationships/hyperlink" Target="https://doi.org/10.1890/09-0503.1" TargetMode="External"/><Relationship Id="rId43" Type="http://schemas.openxmlformats.org/officeDocument/2006/relationships/hyperlink" Target="https://doi.org/10.1890/1051-0761(2006)016%5B2035:BIRFUP%5D2.0.CO;2" TargetMode="External"/><Relationship Id="rId44" Type="http://schemas.openxmlformats.org/officeDocument/2006/relationships/hyperlink" Target="https://doi.org/10.1111/gcb.12834" TargetMode="External"/><Relationship Id="rId45" Type="http://schemas.openxmlformats.org/officeDocument/2006/relationships/hyperlink" Target="https://doi.org/10.15468/p5rupv" TargetMode="External"/><Relationship Id="rId46" Type="http://schemas.openxmlformats.org/officeDocument/2006/relationships/hyperlink" Target="https://doi.org/10.1111/j.1749-8198.2010.00351.x" TargetMode="External"/><Relationship Id="rId47" Type="http://schemas.openxmlformats.org/officeDocument/2006/relationships/hyperlink" Target="https://doi.org/10.15468/iuhxpw" TargetMode="External"/><Relationship Id="rId48" Type="http://schemas.openxmlformats.org/officeDocument/2006/relationships/hyperlink" Target="https://doi.org/10.1093/ee/6.1.50" TargetMode="External"/><Relationship Id="rId49" Type="http://schemas.openxmlformats.org/officeDocument/2006/relationships/hyperlink" Target="https://doi.org/10.1111/j.1366-9516.2005.00142.x" TargetMode="External"/><Relationship Id="rId50" Type="http://schemas.openxmlformats.org/officeDocument/2006/relationships/hyperlink" Target="https://doi.org/10.15468/tedfxn" TargetMode="External"/><Relationship Id="rId51" Type="http://schemas.openxmlformats.org/officeDocument/2006/relationships/hyperlink" Target="https://doi.org/10.15468/lp1ctu" TargetMode="External"/><Relationship Id="rId52" Type="http://schemas.openxmlformats.org/officeDocument/2006/relationships/hyperlink" Target="https://doi.org/10.15468/nn3cel" TargetMode="External"/><Relationship Id="rId53" Type="http://schemas.openxmlformats.org/officeDocument/2006/relationships/hyperlink" Target="https://doi.org/10.15468/3ck2nw" TargetMode="External"/><Relationship Id="rId54" Type="http://schemas.openxmlformats.org/officeDocument/2006/relationships/hyperlink" Target="https://doi.org/10.15468/du1hci" TargetMode="External"/><Relationship Id="rId55" Type="http://schemas.openxmlformats.org/officeDocument/2006/relationships/hyperlink" Target="https://doi.org/10.1038/439803a" TargetMode="External"/><Relationship Id="rId56" Type="http://schemas.openxmlformats.org/officeDocument/2006/relationships/hyperlink" Target="https://doi.org/10.1093/ee/9.5.653" TargetMode="External"/><Relationship Id="rId57" Type="http://schemas.openxmlformats.org/officeDocument/2006/relationships/hyperlink" Target="https://doi.org/10.1016/0022-1910(88)90215-6" TargetMode="External"/><Relationship Id="rId58" Type="http://schemas.openxmlformats.org/officeDocument/2006/relationships/hyperlink" Target="https://doi.org/10.1007/BF00183787" TargetMode="External"/><Relationship Id="rId59" Type="http://schemas.openxmlformats.org/officeDocument/2006/relationships/hyperlink" Target="https://doi.org/10.15468/slqqt8" TargetMode="External"/><Relationship Id="rId60" Type="http://schemas.openxmlformats.org/officeDocument/2006/relationships/hyperlink" Target="https://www.R-project.org/" TargetMode="External"/><Relationship Id="rId61" Type="http://schemas.openxmlformats.org/officeDocument/2006/relationships/hyperlink" Target="https://doi.org/10.1098/rspb.2008.0412" TargetMode="External"/><Relationship Id="rId62" Type="http://schemas.openxmlformats.org/officeDocument/2006/relationships/hyperlink" Target="https://doi.org/10.1038/ncomms14435" TargetMode="External"/><Relationship Id="rId63" Type="http://schemas.openxmlformats.org/officeDocument/2006/relationships/hyperlink" Target="https://doi.org/10.1073/pnas.1018989108" TargetMode="External"/><Relationship Id="rId64" Type="http://schemas.openxmlformats.org/officeDocument/2006/relationships/hyperlink" Target="https://doi.org/10.15468/kyulwg" TargetMode="External"/><Relationship Id="rId65" Type="http://schemas.openxmlformats.org/officeDocument/2006/relationships/hyperlink" Target="https://doi.org/10.1016/0304-3800(94)90066-3" TargetMode="External"/><Relationship Id="rId66" Type="http://schemas.openxmlformats.org/officeDocument/2006/relationships/hyperlink" Target="https://doi.org/10.1093/jee/69.1.73" TargetMode="External"/><Relationship Id="rId67" Type="http://schemas.openxmlformats.org/officeDocument/2006/relationships/hyperlink" Target="https://doi.org/10.1111/1748-5967.12325" TargetMode="External"/><Relationship Id="rId68" Type="http://schemas.openxmlformats.org/officeDocument/2006/relationships/hyperlink" Target="https://doi.org/10.1603/0046-225x-34.2.317" TargetMode="External"/><Relationship Id="rId69" Type="http://schemas.openxmlformats.org/officeDocument/2006/relationships/hyperlink" Target="https://doi.org/10.15468/caprqh" TargetMode="External"/><Relationship Id="rId70" Type="http://schemas.openxmlformats.org/officeDocument/2006/relationships/hyperlink" Target="https://doi.org/10.15468/ga4bmd" TargetMode="External"/><Relationship Id="rId71" Type="http://schemas.openxmlformats.org/officeDocument/2006/relationships/hyperlink" Target="https://doi.org/10.15468/inygc6" TargetMode="External"/><Relationship Id="rId72" Type="http://schemas.openxmlformats.org/officeDocument/2006/relationships/hyperlink" Target="https://doi.org/10.1093/ee/21.5.964" TargetMode="External"/><Relationship Id="rId73" Type="http://schemas.openxmlformats.org/officeDocument/2006/relationships/hyperlink" Target="https://doi.org/10.15468/1hrpha" TargetMode="External"/><Relationship Id="rId74" Type="http://schemas.openxmlformats.org/officeDocument/2006/relationships/hyperlink" Target="https://doi.org/10.1111/j.1744-7917.2012.01572.x" TargetMode="External"/><Relationship Id="rId75" Type="http://schemas.openxmlformats.org/officeDocument/2006/relationships/hyperlink" Target="https://doi.org/10.1016/s2095-3119(18)62014-3" TargetMode="External"/><Relationship Id="rId76" Type="http://schemas.openxmlformats.org/officeDocument/2006/relationships/hyperlink" Target="https://doi.org/10.1007/s10530-006-9072-y" TargetMode="External"/><Relationship Id="rId77" Type="http://schemas.openxmlformats.org/officeDocument/2006/relationships/hyperlink" Target="https://doi.org/10.15468/sanyq7" TargetMode="External"/><Relationship Id="rId78" Type="http://schemas.openxmlformats.org/officeDocument/2006/relationships/hyperlink" Target="https://doi.org/10.15468/cfddho" TargetMode="External"/><Relationship Id="rId79" Type="http://schemas.openxmlformats.org/officeDocument/2006/relationships/hyperlink" Target="https://gitup.uni-potsdam.de/macroecology/mecofun" TargetMode="External"/><Relationship Id="rId80" Type="http://schemas.openxmlformats.org/officeDocument/2006/relationships/hyperlink" Target="https://doi.org/10.1111/jbi.13351" TargetMode="External"/><Relationship Id="rId81" Type="http://schemas.openxmlformats.org/officeDocument/2006/relationships/footer" Target="footer1.xml"/><Relationship Id="rId82" Type="http://schemas.openxmlformats.org/officeDocument/2006/relationships/footnotes" Target="footnotes.xml"/><Relationship Id="rId83" Type="http://schemas.openxmlformats.org/officeDocument/2006/relationships/numbering" Target="numbering.xml"/><Relationship Id="rId84" Type="http://schemas.openxmlformats.org/officeDocument/2006/relationships/fontTable" Target="fontTable.xml"/><Relationship Id="rId85" Type="http://schemas.openxmlformats.org/officeDocument/2006/relationships/settings" Target="settings.xml"/><Relationship Id="rId86" Type="http://schemas.openxmlformats.org/officeDocument/2006/relationships/theme" Target="theme/theme1.xml"/>
</Relationships>
</file>

<file path=word/_rels/footnotes.xml.rels><?xml version="1.0" encoding="UTF-8"?>
<Relationships xmlns="http://schemas.openxmlformats.org/package/2006/relationships"><Relationship Id="rId1" Type="http://schemas.openxmlformats.org/officeDocument/2006/relationships/hyperlink" Target="mailto:mfmalone@vt.edu" TargetMode="External"/><Relationship Id="rId2" Type="http://schemas.openxmlformats.org/officeDocument/2006/relationships/hyperlink" Target="mailto:rschurch@vt.edu"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188</TotalTime>
  <Application>LibreOffice/7.5.3.2$Linux_X86_64 LibreOffice_project/67bf5ab3e8553b11738d1302ab7051a12dd8b40d</Application>
  <AppVersion>15.0000</AppVersion>
  <Pages>33</Pages>
  <Words>6816</Words>
  <Characters>40449</Characters>
  <CharactersWithSpaces>47024</CharactersWithSpaces>
  <Paragraphs>193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2022-07-08T15:53:17Z</dcterms:created>
  <dc:creator>Morgan Malone; Kaloyan Ivanov; Sally V. Taylor; Roger Schürch</dc:creator>
  <dc:description/>
  <dc:language>en-US</dc:language>
  <cp:lastModifiedBy/>
  <dcterms:modified xsi:type="dcterms:W3CDTF">2023-06-05T12:04:27Z</dcterms:modified>
  <cp:revision>8</cp:revision>
  <dc:subject/>
  <dc:title>Unexpected, fast range expansion in Virginia and prediction of future spread in the United States of the red imported fire ant Solenopsis invicta</dc:title>
</cp:coreProperties>
</file>

<file path=docProps/custom.xml><?xml version="1.0" encoding="utf-8"?>
<Properties xmlns="http://schemas.openxmlformats.org/officeDocument/2006/custom-properties" xmlns:vt="http://schemas.openxmlformats.org/officeDocument/2006/docPropsVTypes"/>
</file>